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46A9" w14:textId="675B1909" w:rsidR="00035763" w:rsidRPr="00FD60C4" w:rsidRDefault="00035763" w:rsidP="00035763">
      <w:pPr>
        <w:spacing w:before="88"/>
        <w:rPr>
          <w:rFonts w:asciiTheme="majorHAnsi" w:hAnsiTheme="majorHAnsi" w:cstheme="majorHAnsi"/>
          <w:b/>
          <w:bCs/>
          <w:sz w:val="34"/>
        </w:rPr>
      </w:pPr>
      <w:r w:rsidRPr="00FD60C4">
        <w:rPr>
          <w:rFonts w:asciiTheme="majorHAnsi" w:hAnsiTheme="majorHAnsi" w:cstheme="majorHAnsi"/>
          <w:b/>
          <w:bCs/>
          <w:color w:val="502379"/>
          <w:sz w:val="34"/>
        </w:rPr>
        <w:t>Genome Innovation Hub</w:t>
      </w:r>
    </w:p>
    <w:p w14:paraId="6055A1BC" w14:textId="77777777" w:rsidR="00814CA5" w:rsidRPr="000452C2" w:rsidRDefault="00814CA5" w:rsidP="00035763">
      <w:pPr>
        <w:spacing w:before="1"/>
        <w:rPr>
          <w:rFonts w:ascii="Gotham Medium" w:hAnsi="Gotham Medium"/>
          <w:color w:val="502379"/>
          <w:sz w:val="36"/>
        </w:rPr>
      </w:pPr>
    </w:p>
    <w:p w14:paraId="7992C02D" w14:textId="7F15D08E" w:rsidR="00035763" w:rsidRPr="00FD60C4" w:rsidRDefault="00035763" w:rsidP="00035763">
      <w:pPr>
        <w:spacing w:before="1"/>
        <w:rPr>
          <w:rFonts w:asciiTheme="majorHAnsi" w:hAnsiTheme="majorHAnsi" w:cstheme="majorHAnsi"/>
          <w:sz w:val="36"/>
        </w:rPr>
      </w:pPr>
      <w:r w:rsidRPr="00FD60C4">
        <w:rPr>
          <w:rFonts w:asciiTheme="majorHAnsi" w:hAnsiTheme="majorHAnsi" w:cstheme="majorHAnsi"/>
          <w:color w:val="502379"/>
          <w:sz w:val="36"/>
        </w:rPr>
        <w:t xml:space="preserve">Guide for </w:t>
      </w:r>
      <w:r w:rsidR="000452C2" w:rsidRPr="00FD60C4">
        <w:rPr>
          <w:rFonts w:asciiTheme="majorHAnsi" w:hAnsiTheme="majorHAnsi" w:cstheme="majorHAnsi"/>
          <w:color w:val="502379"/>
          <w:sz w:val="36"/>
        </w:rPr>
        <w:t>202</w:t>
      </w:r>
      <w:r w:rsidR="00ED4408" w:rsidRPr="00FD60C4">
        <w:rPr>
          <w:rFonts w:asciiTheme="majorHAnsi" w:hAnsiTheme="majorHAnsi" w:cstheme="majorHAnsi"/>
          <w:color w:val="502379"/>
          <w:sz w:val="36"/>
        </w:rPr>
        <w:t>3</w:t>
      </w:r>
      <w:r w:rsidR="000452C2" w:rsidRPr="00FD60C4">
        <w:rPr>
          <w:rFonts w:asciiTheme="majorHAnsi" w:hAnsiTheme="majorHAnsi" w:cstheme="majorHAnsi"/>
          <w:color w:val="502379"/>
          <w:sz w:val="36"/>
        </w:rPr>
        <w:t xml:space="preserve"> </w:t>
      </w:r>
      <w:r w:rsidR="00D26378" w:rsidRPr="00FD60C4">
        <w:rPr>
          <w:rFonts w:asciiTheme="majorHAnsi" w:hAnsiTheme="majorHAnsi" w:cstheme="majorHAnsi"/>
          <w:color w:val="502379"/>
          <w:sz w:val="36"/>
        </w:rPr>
        <w:t>GIH</w:t>
      </w:r>
      <w:r w:rsidRPr="00FD60C4">
        <w:rPr>
          <w:rFonts w:asciiTheme="majorHAnsi" w:hAnsiTheme="majorHAnsi" w:cstheme="majorHAnsi"/>
          <w:color w:val="502379"/>
          <w:sz w:val="36"/>
        </w:rPr>
        <w:t xml:space="preserve"> </w:t>
      </w:r>
      <w:r w:rsidR="00FA4396" w:rsidRPr="00FD60C4">
        <w:rPr>
          <w:rFonts w:asciiTheme="majorHAnsi" w:hAnsiTheme="majorHAnsi" w:cstheme="majorHAnsi"/>
          <w:color w:val="502379"/>
          <w:sz w:val="36"/>
        </w:rPr>
        <w:t>Collaborative</w:t>
      </w:r>
      <w:r w:rsidRPr="00FD60C4">
        <w:rPr>
          <w:rFonts w:asciiTheme="majorHAnsi" w:hAnsiTheme="majorHAnsi" w:cstheme="majorHAnsi"/>
          <w:color w:val="502379"/>
          <w:sz w:val="36"/>
        </w:rPr>
        <w:t xml:space="preserve"> Project</w:t>
      </w:r>
      <w:r w:rsidR="00D26378" w:rsidRPr="00FD60C4">
        <w:rPr>
          <w:rFonts w:asciiTheme="majorHAnsi" w:hAnsiTheme="majorHAnsi" w:cstheme="majorHAnsi"/>
          <w:color w:val="502379"/>
          <w:sz w:val="36"/>
        </w:rPr>
        <w:t xml:space="preserve"> Applications</w:t>
      </w:r>
    </w:p>
    <w:p w14:paraId="0DE36C7F" w14:textId="2CDC6A81" w:rsidR="00035763" w:rsidRDefault="00035763" w:rsidP="00035763">
      <w:pPr>
        <w:pStyle w:val="BodyText"/>
        <w:spacing w:before="9"/>
        <w:rPr>
          <w:sz w:val="25"/>
        </w:rPr>
      </w:pPr>
      <w:r>
        <w:rPr>
          <w:noProof/>
          <w:color w:val="502379"/>
          <w:sz w:val="34"/>
        </w:rPr>
        <mc:AlternateContent>
          <mc:Choice Requires="wps">
            <w:drawing>
              <wp:anchor distT="0" distB="0" distL="114300" distR="114300" simplePos="0" relativeHeight="251660288" behindDoc="0" locked="0" layoutInCell="1" allowOverlap="1" wp14:anchorId="41C1F02A" wp14:editId="63D99CD5">
                <wp:simplePos x="0" y="0"/>
                <wp:positionH relativeFrom="column">
                  <wp:posOffset>27305</wp:posOffset>
                </wp:positionH>
                <wp:positionV relativeFrom="paragraph">
                  <wp:posOffset>206556</wp:posOffset>
                </wp:positionV>
                <wp:extent cx="6092190" cy="0"/>
                <wp:effectExtent l="0" t="0" r="16510" b="12700"/>
                <wp:wrapTopAndBottom/>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2190"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AF2D905" id="Line 1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6.25pt" to="481.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" strokeweight=".09983mm">
                <o:lock v:ext="edit" shapetype="f"/>
                <w10:wrap type="topAndBottom"/>
              </v:line>
            </w:pict>
          </mc:Fallback>
        </mc:AlternateContent>
      </w:r>
    </w:p>
    <w:p w14:paraId="68C5F836" w14:textId="0A6E8223" w:rsidR="00035763" w:rsidRPr="00FD60C4" w:rsidRDefault="00035763" w:rsidP="00E86AE2">
      <w:pPr>
        <w:pStyle w:val="Heading1"/>
        <w:spacing w:line="276" w:lineRule="auto"/>
        <w:rPr>
          <w:rFonts w:cstheme="majorHAnsi"/>
          <w:sz w:val="28"/>
          <w:szCs w:val="28"/>
        </w:rPr>
      </w:pPr>
      <w:r w:rsidRPr="00FD60C4">
        <w:rPr>
          <w:rFonts w:cstheme="majorHAnsi"/>
          <w:color w:val="502379"/>
          <w:sz w:val="28"/>
          <w:szCs w:val="28"/>
        </w:rPr>
        <w:t xml:space="preserve">About </w:t>
      </w:r>
      <w:r w:rsidR="000452C2" w:rsidRPr="00FD60C4">
        <w:rPr>
          <w:rFonts w:cstheme="majorHAnsi"/>
          <w:color w:val="502379"/>
          <w:sz w:val="28"/>
          <w:szCs w:val="28"/>
        </w:rPr>
        <w:t xml:space="preserve">the </w:t>
      </w:r>
      <w:r w:rsidRPr="00FD60C4">
        <w:rPr>
          <w:rFonts w:cstheme="majorHAnsi"/>
          <w:color w:val="502379"/>
          <w:sz w:val="28"/>
          <w:szCs w:val="28"/>
        </w:rPr>
        <w:t>Genome Innovation Hub</w:t>
      </w:r>
    </w:p>
    <w:p w14:paraId="716B23A4" w14:textId="3AE1627F" w:rsidR="00A40661" w:rsidRPr="008A2680" w:rsidRDefault="00035763" w:rsidP="00E86AE2">
      <w:pPr>
        <w:pStyle w:val="BodyText"/>
        <w:spacing w:line="276" w:lineRule="auto"/>
        <w:ind w:left="135" w:right="634"/>
        <w:jc w:val="both"/>
        <w:rPr>
          <w:sz w:val="22"/>
        </w:rPr>
      </w:pPr>
      <w:r w:rsidRPr="008A2680">
        <w:rPr>
          <w:sz w:val="22"/>
        </w:rPr>
        <w:t xml:space="preserve">Genome Innovation Hub (GIH) is a University of Queensland initiative and part of UQ Research Infrastructure. GIH aims to develop innovative approaches to advance technologies in the structural </w:t>
      </w:r>
      <w:r w:rsidRPr="008A2680">
        <w:rPr>
          <w:spacing w:val="-2"/>
          <w:sz w:val="22"/>
        </w:rPr>
        <w:t xml:space="preserve">and </w:t>
      </w:r>
      <w:r w:rsidRPr="008A2680">
        <w:rPr>
          <w:sz w:val="22"/>
        </w:rPr>
        <w:t>functional analysis of genomes. The Innovation Hub will act as a collaborative research centre, working with UQ clinicians and scientists to implement novel and promising methodologies in projects focussed on the key areas of health, agriculture and the environment. Once implemented by GIH, these innovations (methods, protocols, software, expertise, etc.) will be made available through UQ Research Infrastructure Services, other UQ Service Providers, or through research groups willing to</w:t>
      </w:r>
      <w:r w:rsidRPr="008A2680">
        <w:rPr>
          <w:spacing w:val="-4"/>
          <w:sz w:val="22"/>
        </w:rPr>
        <w:t xml:space="preserve"> </w:t>
      </w:r>
      <w:r w:rsidRPr="008A2680">
        <w:rPr>
          <w:sz w:val="22"/>
        </w:rPr>
        <w:t>collaborate</w:t>
      </w:r>
      <w:r w:rsidRPr="008A2680">
        <w:rPr>
          <w:spacing w:val="-3"/>
          <w:sz w:val="22"/>
        </w:rPr>
        <w:t xml:space="preserve"> </w:t>
      </w:r>
      <w:r w:rsidRPr="008A2680">
        <w:rPr>
          <w:sz w:val="22"/>
        </w:rPr>
        <w:t>and/or</w:t>
      </w:r>
      <w:r w:rsidRPr="008A2680">
        <w:rPr>
          <w:spacing w:val="-4"/>
          <w:sz w:val="22"/>
        </w:rPr>
        <w:t xml:space="preserve"> </w:t>
      </w:r>
      <w:r w:rsidRPr="008A2680">
        <w:rPr>
          <w:sz w:val="22"/>
        </w:rPr>
        <w:t>train</w:t>
      </w:r>
      <w:r w:rsidRPr="008A2680">
        <w:rPr>
          <w:spacing w:val="-4"/>
          <w:sz w:val="22"/>
        </w:rPr>
        <w:t xml:space="preserve"> </w:t>
      </w:r>
      <w:r w:rsidRPr="008A2680">
        <w:rPr>
          <w:sz w:val="22"/>
        </w:rPr>
        <w:t>research</w:t>
      </w:r>
      <w:r w:rsidRPr="008A2680">
        <w:rPr>
          <w:spacing w:val="-4"/>
          <w:sz w:val="22"/>
        </w:rPr>
        <w:t xml:space="preserve"> </w:t>
      </w:r>
      <w:r w:rsidRPr="008A2680">
        <w:rPr>
          <w:sz w:val="22"/>
        </w:rPr>
        <w:t>staff</w:t>
      </w:r>
      <w:r w:rsidRPr="008A2680">
        <w:rPr>
          <w:spacing w:val="-4"/>
          <w:sz w:val="22"/>
        </w:rPr>
        <w:t xml:space="preserve"> </w:t>
      </w:r>
      <w:r w:rsidRPr="008A2680">
        <w:rPr>
          <w:sz w:val="22"/>
        </w:rPr>
        <w:t>in</w:t>
      </w:r>
      <w:r w:rsidRPr="008A2680">
        <w:rPr>
          <w:spacing w:val="-4"/>
          <w:sz w:val="22"/>
        </w:rPr>
        <w:t xml:space="preserve"> </w:t>
      </w:r>
      <w:r w:rsidRPr="008A2680">
        <w:rPr>
          <w:sz w:val="22"/>
        </w:rPr>
        <w:t>the</w:t>
      </w:r>
      <w:r w:rsidRPr="008A2680">
        <w:rPr>
          <w:spacing w:val="-5"/>
          <w:sz w:val="22"/>
        </w:rPr>
        <w:t xml:space="preserve"> </w:t>
      </w:r>
      <w:r w:rsidRPr="008A2680">
        <w:rPr>
          <w:sz w:val="22"/>
        </w:rPr>
        <w:t>newly</w:t>
      </w:r>
      <w:r w:rsidRPr="008A2680">
        <w:rPr>
          <w:spacing w:val="-4"/>
          <w:sz w:val="22"/>
        </w:rPr>
        <w:t xml:space="preserve"> </w:t>
      </w:r>
      <w:r w:rsidRPr="008A2680">
        <w:rPr>
          <w:sz w:val="22"/>
        </w:rPr>
        <w:t>developed</w:t>
      </w:r>
      <w:r w:rsidRPr="008A2680">
        <w:rPr>
          <w:spacing w:val="-4"/>
          <w:sz w:val="22"/>
        </w:rPr>
        <w:t xml:space="preserve"> </w:t>
      </w:r>
      <w:r w:rsidRPr="008A2680">
        <w:rPr>
          <w:sz w:val="22"/>
        </w:rPr>
        <w:t>approaches.</w:t>
      </w:r>
      <w:r w:rsidR="00A40661">
        <w:rPr>
          <w:sz w:val="22"/>
        </w:rPr>
        <w:t xml:space="preserve"> </w:t>
      </w:r>
      <w:r w:rsidR="00E86AE2">
        <w:rPr>
          <w:sz w:val="22"/>
        </w:rPr>
        <w:t>A</w:t>
      </w:r>
      <w:r w:rsidR="00A40661">
        <w:rPr>
          <w:sz w:val="22"/>
        </w:rPr>
        <w:t xml:space="preserve"> list of collaborative projects</w:t>
      </w:r>
      <w:r w:rsidR="00E86AE2">
        <w:rPr>
          <w:sz w:val="22"/>
        </w:rPr>
        <w:t xml:space="preserve"> being undertaken at GIH</w:t>
      </w:r>
      <w:r w:rsidR="00A40661">
        <w:rPr>
          <w:sz w:val="22"/>
        </w:rPr>
        <w:t xml:space="preserve"> is provided </w:t>
      </w:r>
      <w:r w:rsidR="002A7D8E">
        <w:rPr>
          <w:sz w:val="22"/>
        </w:rPr>
        <w:t>at the end</w:t>
      </w:r>
      <w:r w:rsidR="00E86AE2">
        <w:rPr>
          <w:sz w:val="22"/>
        </w:rPr>
        <w:t xml:space="preserve"> of this document</w:t>
      </w:r>
      <w:r w:rsidR="00A40661">
        <w:rPr>
          <w:sz w:val="22"/>
        </w:rPr>
        <w:t>.</w:t>
      </w:r>
    </w:p>
    <w:p w14:paraId="18473B4B" w14:textId="77777777" w:rsidR="00035763" w:rsidRDefault="00035763" w:rsidP="00E86AE2">
      <w:pPr>
        <w:pStyle w:val="BodyText"/>
        <w:spacing w:before="3" w:line="276" w:lineRule="auto"/>
        <w:rPr>
          <w:sz w:val="25"/>
        </w:rPr>
      </w:pPr>
    </w:p>
    <w:p w14:paraId="7FBA5BD3" w14:textId="166D01CF" w:rsidR="00035763" w:rsidRPr="00FD60C4" w:rsidRDefault="00035763" w:rsidP="00035763">
      <w:pPr>
        <w:pStyle w:val="Heading1"/>
        <w:spacing w:before="0"/>
        <w:rPr>
          <w:rFonts w:cstheme="majorHAnsi"/>
          <w:sz w:val="28"/>
          <w:szCs w:val="28"/>
        </w:rPr>
      </w:pPr>
      <w:r w:rsidRPr="00FD60C4">
        <w:rPr>
          <w:rFonts w:cstheme="majorHAnsi"/>
          <w:color w:val="502379"/>
          <w:sz w:val="28"/>
          <w:szCs w:val="28"/>
        </w:rPr>
        <w:t>GIH Call for Collaborative Projects</w:t>
      </w:r>
    </w:p>
    <w:p w14:paraId="2B61AB9C" w14:textId="69D92ABD" w:rsidR="00035763" w:rsidRPr="008A2680" w:rsidRDefault="00035763" w:rsidP="00035763">
      <w:pPr>
        <w:pStyle w:val="BodyText"/>
        <w:spacing w:before="162" w:line="309" w:lineRule="auto"/>
        <w:ind w:left="135" w:right="627"/>
        <w:jc w:val="both"/>
        <w:rPr>
          <w:sz w:val="22"/>
        </w:rPr>
      </w:pPr>
      <w:r w:rsidRPr="008A2680">
        <w:rPr>
          <w:sz w:val="22"/>
        </w:rPr>
        <w:t xml:space="preserve">Following yet another year of successful engagement of collaborative research projects across UQ, </w:t>
      </w:r>
      <w:r w:rsidRPr="008A2680">
        <w:rPr>
          <w:spacing w:val="-4"/>
          <w:sz w:val="22"/>
        </w:rPr>
        <w:t>GIH is now inviting applications from UQ researchers for collaborative projects to start in 202</w:t>
      </w:r>
      <w:r w:rsidR="00ED4408">
        <w:rPr>
          <w:spacing w:val="-4"/>
          <w:sz w:val="22"/>
        </w:rPr>
        <w:t>3</w:t>
      </w:r>
      <w:r w:rsidRPr="008A2680">
        <w:rPr>
          <w:spacing w:val="-4"/>
          <w:sz w:val="22"/>
        </w:rPr>
        <w:t xml:space="preserve">. </w:t>
      </w:r>
      <w:r w:rsidRPr="008A2680">
        <w:rPr>
          <w:sz w:val="22"/>
        </w:rPr>
        <w:t>An</w:t>
      </w:r>
      <w:r w:rsidRPr="008A2680">
        <w:rPr>
          <w:spacing w:val="-3"/>
          <w:sz w:val="22"/>
        </w:rPr>
        <w:t xml:space="preserve"> </w:t>
      </w:r>
      <w:r w:rsidRPr="008A2680">
        <w:rPr>
          <w:sz w:val="22"/>
        </w:rPr>
        <w:t>anticipated</w:t>
      </w:r>
      <w:r w:rsidRPr="008A2680">
        <w:rPr>
          <w:spacing w:val="-4"/>
          <w:sz w:val="22"/>
        </w:rPr>
        <w:t xml:space="preserve"> </w:t>
      </w:r>
      <w:r w:rsidR="00F8502B">
        <w:rPr>
          <w:sz w:val="22"/>
        </w:rPr>
        <w:t>5-6</w:t>
      </w:r>
      <w:r w:rsidRPr="008A2680">
        <w:rPr>
          <w:spacing w:val="-3"/>
          <w:sz w:val="22"/>
        </w:rPr>
        <w:t xml:space="preserve"> </w:t>
      </w:r>
      <w:r w:rsidRPr="008A2680">
        <w:rPr>
          <w:sz w:val="22"/>
        </w:rPr>
        <w:t>projects</w:t>
      </w:r>
      <w:r w:rsidRPr="008A2680">
        <w:rPr>
          <w:spacing w:val="-4"/>
          <w:sz w:val="22"/>
        </w:rPr>
        <w:t xml:space="preserve"> </w:t>
      </w:r>
      <w:r w:rsidRPr="008A2680">
        <w:rPr>
          <w:sz w:val="22"/>
        </w:rPr>
        <w:t>will</w:t>
      </w:r>
      <w:r w:rsidRPr="008A2680">
        <w:rPr>
          <w:spacing w:val="-3"/>
          <w:sz w:val="22"/>
        </w:rPr>
        <w:t xml:space="preserve"> </w:t>
      </w:r>
      <w:r w:rsidRPr="008A2680">
        <w:rPr>
          <w:sz w:val="22"/>
        </w:rPr>
        <w:t>be</w:t>
      </w:r>
      <w:r w:rsidRPr="008A2680">
        <w:rPr>
          <w:spacing w:val="-4"/>
          <w:sz w:val="22"/>
        </w:rPr>
        <w:t xml:space="preserve"> </w:t>
      </w:r>
      <w:r w:rsidRPr="008A2680">
        <w:rPr>
          <w:sz w:val="22"/>
        </w:rPr>
        <w:t>supported</w:t>
      </w:r>
      <w:r w:rsidR="00E86AE2">
        <w:rPr>
          <w:sz w:val="22"/>
        </w:rPr>
        <w:t xml:space="preserve"> in 202</w:t>
      </w:r>
      <w:r w:rsidR="00ED4408">
        <w:rPr>
          <w:sz w:val="22"/>
        </w:rPr>
        <w:t>3</w:t>
      </w:r>
      <w:r w:rsidRPr="008A2680">
        <w:rPr>
          <w:sz w:val="22"/>
        </w:rPr>
        <w:t>.</w:t>
      </w:r>
      <w:r w:rsidRPr="008A2680">
        <w:rPr>
          <w:spacing w:val="-3"/>
          <w:sz w:val="22"/>
        </w:rPr>
        <w:t xml:space="preserve"> </w:t>
      </w:r>
      <w:r w:rsidRPr="008A2680">
        <w:rPr>
          <w:sz w:val="22"/>
        </w:rPr>
        <w:t>For</w:t>
      </w:r>
      <w:r w:rsidRPr="008A2680">
        <w:rPr>
          <w:spacing w:val="-4"/>
          <w:sz w:val="22"/>
        </w:rPr>
        <w:t xml:space="preserve"> </w:t>
      </w:r>
      <w:r w:rsidRPr="008A2680">
        <w:rPr>
          <w:sz w:val="22"/>
        </w:rPr>
        <w:t>successful</w:t>
      </w:r>
      <w:r w:rsidRPr="008A2680">
        <w:rPr>
          <w:spacing w:val="-3"/>
          <w:sz w:val="22"/>
        </w:rPr>
        <w:t xml:space="preserve"> </w:t>
      </w:r>
      <w:r w:rsidRPr="008A2680">
        <w:rPr>
          <w:sz w:val="22"/>
        </w:rPr>
        <w:t>applications, GIH staff and potential funding towards GIH consumables will support each project to develop cutting-edge technology breakthroughs (methods and pipelines).  Proposals can be entirely wet-lab-based, entirely bioinformatics-based</w:t>
      </w:r>
      <w:r>
        <w:rPr>
          <w:sz w:val="22"/>
        </w:rPr>
        <w:t>,</w:t>
      </w:r>
      <w:r w:rsidRPr="008A2680">
        <w:rPr>
          <w:sz w:val="22"/>
        </w:rPr>
        <w:t xml:space="preserve"> or a combination of the two</w:t>
      </w:r>
      <w:r>
        <w:rPr>
          <w:sz w:val="22"/>
        </w:rPr>
        <w:t xml:space="preserve"> </w:t>
      </w:r>
      <w:r w:rsidRPr="008A2680">
        <w:rPr>
          <w:sz w:val="22"/>
        </w:rPr>
        <w:t>and will vary in requirements for GIH budget and/or GIH staff</w:t>
      </w:r>
      <w:r w:rsidRPr="008A2680">
        <w:rPr>
          <w:spacing w:val="-11"/>
          <w:sz w:val="22"/>
        </w:rPr>
        <w:t xml:space="preserve"> </w:t>
      </w:r>
      <w:r w:rsidRPr="008A2680">
        <w:rPr>
          <w:sz w:val="22"/>
        </w:rPr>
        <w:t>support.</w:t>
      </w:r>
    </w:p>
    <w:p w14:paraId="5D01402F" w14:textId="77777777" w:rsidR="00035763" w:rsidRPr="008A2680" w:rsidRDefault="00035763" w:rsidP="00035763">
      <w:pPr>
        <w:pStyle w:val="BodyText"/>
        <w:spacing w:before="9"/>
        <w:rPr>
          <w:sz w:val="22"/>
        </w:rPr>
      </w:pPr>
    </w:p>
    <w:p w14:paraId="140833FA" w14:textId="77777777" w:rsidR="00035763" w:rsidRPr="008A2680" w:rsidRDefault="00035763" w:rsidP="00E86AE2">
      <w:pPr>
        <w:pStyle w:val="BodyText"/>
        <w:spacing w:line="276" w:lineRule="auto"/>
        <w:ind w:left="135" w:right="626"/>
        <w:jc w:val="both"/>
        <w:rPr>
          <w:sz w:val="22"/>
        </w:rPr>
      </w:pPr>
      <w:r w:rsidRPr="008A2680">
        <w:rPr>
          <w:sz w:val="22"/>
        </w:rPr>
        <w:t xml:space="preserve">Collaborating research groups will work closely with GIH in the design and development of projects and actively contribute to projects, including co-investment in funding and personnel expertise. Projects will be prioritized on the basis of novelty and transformative impact in advancing genomic applications and/or those that significantly drive down the costs of these applications. Proposals will also be evaluated on the basis of feasibility, broad impact, and clearly outlined paths for future access and uptake. The number of projects accepted will depend on feasibility, budget </w:t>
      </w:r>
      <w:r w:rsidRPr="008A2680">
        <w:rPr>
          <w:spacing w:val="-2"/>
          <w:sz w:val="22"/>
        </w:rPr>
        <w:t xml:space="preserve">and </w:t>
      </w:r>
      <w:r w:rsidRPr="008A2680">
        <w:rPr>
          <w:sz w:val="22"/>
        </w:rPr>
        <w:t>timelines.</w:t>
      </w:r>
    </w:p>
    <w:p w14:paraId="14333041" w14:textId="77777777" w:rsidR="00192897" w:rsidRDefault="00192897" w:rsidP="00BD727E">
      <w:pPr>
        <w:pStyle w:val="Heading1"/>
        <w:rPr>
          <w:rFonts w:cstheme="majorHAnsi"/>
          <w:color w:val="502379"/>
          <w:sz w:val="28"/>
          <w:szCs w:val="28"/>
        </w:rPr>
      </w:pPr>
    </w:p>
    <w:p w14:paraId="5AF0FE3E" w14:textId="564E4829" w:rsidR="00BD727E" w:rsidRPr="00FD60C4" w:rsidRDefault="00BD727E" w:rsidP="00BD727E">
      <w:pPr>
        <w:pStyle w:val="Heading1"/>
        <w:rPr>
          <w:rFonts w:cstheme="majorHAnsi"/>
          <w:color w:val="502379"/>
          <w:sz w:val="28"/>
          <w:szCs w:val="28"/>
        </w:rPr>
      </w:pPr>
      <w:r w:rsidRPr="00FD60C4">
        <w:rPr>
          <w:rFonts w:cstheme="majorHAnsi"/>
          <w:color w:val="502379"/>
          <w:sz w:val="28"/>
          <w:szCs w:val="28"/>
        </w:rPr>
        <w:t>Application guidelines</w:t>
      </w:r>
    </w:p>
    <w:tbl>
      <w:tblPr>
        <w:tblStyle w:val="TableGrid"/>
        <w:tblW w:w="0" w:type="auto"/>
        <w:tblLook w:val="04A0" w:firstRow="1" w:lastRow="0" w:firstColumn="1" w:lastColumn="0" w:noHBand="0" w:noVBand="1"/>
      </w:tblPr>
      <w:tblGrid>
        <w:gridCol w:w="3686"/>
        <w:gridCol w:w="567"/>
        <w:gridCol w:w="4678"/>
        <w:gridCol w:w="567"/>
      </w:tblGrid>
      <w:tr w:rsidR="00DF4CF9" w:rsidRPr="00D26378" w14:paraId="7406D447" w14:textId="77777777" w:rsidTr="00DF4CF9">
        <w:tc>
          <w:tcPr>
            <w:tcW w:w="4253" w:type="dxa"/>
            <w:gridSpan w:val="2"/>
            <w:tcBorders>
              <w:bottom w:val="single" w:sz="4" w:space="0" w:color="auto"/>
            </w:tcBorders>
            <w:shd w:val="clear" w:color="auto" w:fill="7030A0"/>
          </w:tcPr>
          <w:p w14:paraId="1345576D" w14:textId="5770F31D" w:rsidR="005C61EC" w:rsidRPr="00077D46" w:rsidRDefault="005C61EC" w:rsidP="005C61EC">
            <w:pPr>
              <w:ind w:left="360"/>
              <w:rPr>
                <w:rFonts w:asciiTheme="minorHAnsi" w:hAnsiTheme="minorHAnsi" w:cstheme="minorHAnsi"/>
                <w:color w:val="FFFFFF" w:themeColor="background1"/>
                <w:sz w:val="22"/>
                <w:szCs w:val="22"/>
              </w:rPr>
            </w:pPr>
            <w:r w:rsidRPr="00077D46">
              <w:rPr>
                <w:rFonts w:asciiTheme="minorHAnsi" w:hAnsiTheme="minorHAnsi" w:cstheme="minorHAnsi"/>
                <w:color w:val="FFFFFF" w:themeColor="background1"/>
                <w:sz w:val="22"/>
                <w:szCs w:val="22"/>
              </w:rPr>
              <w:t xml:space="preserve">Project Selection Criteria and </w:t>
            </w:r>
            <w:r w:rsidR="00491D45">
              <w:rPr>
                <w:rFonts w:asciiTheme="minorHAnsi" w:hAnsiTheme="minorHAnsi" w:cstheme="minorHAnsi"/>
                <w:color w:val="FFFFFF" w:themeColor="background1"/>
                <w:sz w:val="22"/>
                <w:szCs w:val="22"/>
              </w:rPr>
              <w:t>Weighting</w:t>
            </w:r>
          </w:p>
          <w:p w14:paraId="686EEAFB" w14:textId="1EFE0CFF" w:rsidR="00DF4CF9" w:rsidRPr="00D26378" w:rsidRDefault="00DF4CF9" w:rsidP="005C61EC">
            <w:pPr>
              <w:ind w:left="360"/>
              <w:rPr>
                <w:color w:val="FFFFFF" w:themeColor="background1"/>
                <w:sz w:val="20"/>
                <w:szCs w:val="20"/>
              </w:rPr>
            </w:pPr>
          </w:p>
        </w:tc>
        <w:tc>
          <w:tcPr>
            <w:tcW w:w="5245" w:type="dxa"/>
            <w:gridSpan w:val="2"/>
            <w:tcBorders>
              <w:bottom w:val="single" w:sz="4" w:space="0" w:color="auto"/>
            </w:tcBorders>
            <w:shd w:val="clear" w:color="auto" w:fill="7030A0"/>
          </w:tcPr>
          <w:p w14:paraId="02398743" w14:textId="77777777" w:rsidR="005C61EC" w:rsidRPr="00D26378" w:rsidRDefault="005C61EC" w:rsidP="005C61EC">
            <w:pPr>
              <w:rPr>
                <w:color w:val="FFFFFF" w:themeColor="background1"/>
                <w:sz w:val="20"/>
                <w:szCs w:val="20"/>
              </w:rPr>
            </w:pPr>
          </w:p>
        </w:tc>
      </w:tr>
      <w:tr w:rsidR="00B545EC" w:rsidRPr="00D26378" w14:paraId="6CC8B902" w14:textId="77777777" w:rsidTr="00B545EC">
        <w:trPr>
          <w:gridAfter w:val="1"/>
          <w:wAfter w:w="567" w:type="dxa"/>
        </w:trPr>
        <w:tc>
          <w:tcPr>
            <w:tcW w:w="3686" w:type="dxa"/>
            <w:tcBorders>
              <w:bottom w:val="single" w:sz="4" w:space="0" w:color="auto"/>
            </w:tcBorders>
          </w:tcPr>
          <w:p w14:paraId="2E008688" w14:textId="77777777" w:rsidR="00077D46" w:rsidRPr="00077D46" w:rsidRDefault="00077D46" w:rsidP="00077D46">
            <w:pPr>
              <w:rPr>
                <w:rFonts w:ascii="Arial" w:hAnsi="Arial" w:cs="Arial"/>
                <w:color w:val="4F2379"/>
                <w:szCs w:val="20"/>
              </w:rPr>
            </w:pPr>
          </w:p>
          <w:p w14:paraId="476E8799" w14:textId="53F9B779" w:rsidR="00B545EC" w:rsidRPr="00C73CC4" w:rsidRDefault="00BD727E" w:rsidP="00BD727E">
            <w:pPr>
              <w:pStyle w:val="ListParagraph0"/>
              <w:numPr>
                <w:ilvl w:val="0"/>
                <w:numId w:val="16"/>
              </w:numPr>
              <w:rPr>
                <w:rFonts w:ascii="Arial" w:hAnsi="Arial" w:cs="Arial"/>
                <w:color w:val="4F2379"/>
                <w:szCs w:val="20"/>
              </w:rPr>
            </w:pPr>
            <w:r w:rsidRPr="00C73CC4">
              <w:rPr>
                <w:rFonts w:ascii="Arial" w:hAnsi="Arial" w:cs="Arial"/>
                <w:color w:val="4F2379"/>
                <w:szCs w:val="20"/>
              </w:rPr>
              <w:t xml:space="preserve">Genomic Innovation </w:t>
            </w:r>
          </w:p>
          <w:p w14:paraId="045FF118" w14:textId="08E800AC" w:rsidR="00BD727E" w:rsidRPr="00D26378" w:rsidRDefault="00BD727E" w:rsidP="00B545EC">
            <w:pPr>
              <w:pStyle w:val="ListParagraph0"/>
              <w:ind w:left="720"/>
              <w:rPr>
                <w:rFonts w:ascii="Arial" w:hAnsi="Arial" w:cs="Arial"/>
                <w:color w:val="7030A0"/>
                <w:szCs w:val="20"/>
              </w:rPr>
            </w:pPr>
            <w:r w:rsidRPr="00C73CC4">
              <w:rPr>
                <w:rFonts w:ascii="Arial" w:hAnsi="Arial" w:cs="Arial"/>
                <w:color w:val="4F2379"/>
                <w:szCs w:val="20"/>
              </w:rPr>
              <w:t>(40%)</w:t>
            </w:r>
          </w:p>
        </w:tc>
        <w:tc>
          <w:tcPr>
            <w:tcW w:w="5245" w:type="dxa"/>
            <w:gridSpan w:val="2"/>
            <w:tcBorders>
              <w:bottom w:val="single" w:sz="4" w:space="0" w:color="auto"/>
            </w:tcBorders>
          </w:tcPr>
          <w:p w14:paraId="7F86084F" w14:textId="77777777" w:rsidR="00077D46" w:rsidRDefault="00077D46" w:rsidP="005A6CC7">
            <w:pPr>
              <w:rPr>
                <w:rFonts w:ascii="Arial" w:hAnsi="Arial" w:cs="Arial"/>
                <w:color w:val="000000" w:themeColor="text1"/>
                <w:sz w:val="20"/>
                <w:szCs w:val="20"/>
              </w:rPr>
            </w:pPr>
          </w:p>
          <w:p w14:paraId="697EB9FD" w14:textId="77777777" w:rsidR="00077D46" w:rsidRDefault="00077D46" w:rsidP="005A6CC7">
            <w:pPr>
              <w:rPr>
                <w:rFonts w:ascii="Arial" w:hAnsi="Arial" w:cs="Arial"/>
                <w:color w:val="000000" w:themeColor="text1"/>
                <w:sz w:val="20"/>
                <w:szCs w:val="20"/>
              </w:rPr>
            </w:pPr>
          </w:p>
          <w:p w14:paraId="6FB0CD81" w14:textId="4966029A" w:rsidR="005C61EC" w:rsidRPr="00D26378" w:rsidRDefault="00BD727E" w:rsidP="005A6CC7">
            <w:pPr>
              <w:rPr>
                <w:rFonts w:ascii="Arial" w:hAnsi="Arial" w:cs="Arial"/>
                <w:color w:val="000000" w:themeColor="text1"/>
                <w:sz w:val="20"/>
                <w:szCs w:val="20"/>
              </w:rPr>
            </w:pPr>
            <w:r w:rsidRPr="00D26378">
              <w:rPr>
                <w:rFonts w:ascii="Arial" w:hAnsi="Arial" w:cs="Arial"/>
                <w:color w:val="000000" w:themeColor="text1"/>
                <w:sz w:val="20"/>
                <w:szCs w:val="20"/>
              </w:rPr>
              <w:t>Is this a major new capability that will help UQ to establish or maintain a competitive position nationally and internationally?</w:t>
            </w:r>
          </w:p>
        </w:tc>
      </w:tr>
      <w:tr w:rsidR="00B545EC" w:rsidRPr="00D26378" w14:paraId="38E534AF" w14:textId="77777777" w:rsidTr="00B545EC">
        <w:trPr>
          <w:gridAfter w:val="1"/>
          <w:wAfter w:w="567" w:type="dxa"/>
        </w:trPr>
        <w:tc>
          <w:tcPr>
            <w:tcW w:w="3686" w:type="dxa"/>
            <w:tcBorders>
              <w:top w:val="single" w:sz="4" w:space="0" w:color="auto"/>
              <w:bottom w:val="single" w:sz="4" w:space="0" w:color="auto"/>
            </w:tcBorders>
          </w:tcPr>
          <w:p w14:paraId="28420C8B" w14:textId="77777777" w:rsidR="00B545EC" w:rsidRPr="00C73CC4" w:rsidRDefault="00BD727E" w:rsidP="00BD727E">
            <w:pPr>
              <w:pStyle w:val="ListParagraph0"/>
              <w:numPr>
                <w:ilvl w:val="0"/>
                <w:numId w:val="16"/>
              </w:numPr>
              <w:rPr>
                <w:rFonts w:ascii="Arial" w:hAnsi="Arial" w:cs="Arial"/>
                <w:color w:val="4F2379"/>
                <w:szCs w:val="20"/>
              </w:rPr>
            </w:pPr>
            <w:r w:rsidRPr="00C73CC4">
              <w:rPr>
                <w:rFonts w:ascii="Arial" w:hAnsi="Arial" w:cs="Arial"/>
                <w:color w:val="4F2379"/>
                <w:szCs w:val="20"/>
              </w:rPr>
              <w:t xml:space="preserve">Broad applicability/Uptake </w:t>
            </w:r>
          </w:p>
          <w:p w14:paraId="6B6E7856" w14:textId="3D9C1799" w:rsidR="00BD727E" w:rsidRPr="00D26378" w:rsidRDefault="00BD727E" w:rsidP="00B545EC">
            <w:pPr>
              <w:pStyle w:val="ListParagraph0"/>
              <w:ind w:left="720"/>
              <w:rPr>
                <w:rFonts w:ascii="Arial" w:hAnsi="Arial" w:cs="Arial"/>
                <w:color w:val="7030A0"/>
                <w:szCs w:val="20"/>
              </w:rPr>
            </w:pPr>
            <w:r w:rsidRPr="00C73CC4">
              <w:rPr>
                <w:rFonts w:ascii="Arial" w:hAnsi="Arial" w:cs="Arial"/>
                <w:color w:val="4F2379"/>
                <w:szCs w:val="20"/>
              </w:rPr>
              <w:t>(20%)</w:t>
            </w:r>
          </w:p>
        </w:tc>
        <w:tc>
          <w:tcPr>
            <w:tcW w:w="5245" w:type="dxa"/>
            <w:gridSpan w:val="2"/>
            <w:tcBorders>
              <w:top w:val="single" w:sz="4" w:space="0" w:color="auto"/>
              <w:bottom w:val="single" w:sz="4" w:space="0" w:color="auto"/>
            </w:tcBorders>
          </w:tcPr>
          <w:p w14:paraId="19971724" w14:textId="77777777" w:rsidR="00BD727E" w:rsidRPr="00D26378" w:rsidRDefault="00BD727E" w:rsidP="005A6CC7">
            <w:pPr>
              <w:rPr>
                <w:rFonts w:ascii="Arial" w:hAnsi="Arial" w:cs="Arial"/>
                <w:color w:val="000000" w:themeColor="text1"/>
                <w:sz w:val="20"/>
                <w:szCs w:val="20"/>
              </w:rPr>
            </w:pPr>
          </w:p>
          <w:p w14:paraId="0921645E" w14:textId="77777777" w:rsidR="00FA4396" w:rsidRDefault="00FA4396" w:rsidP="00BD727E">
            <w:pPr>
              <w:rPr>
                <w:rFonts w:ascii="Arial" w:hAnsi="Arial" w:cs="Arial"/>
                <w:color w:val="000000" w:themeColor="text1"/>
                <w:sz w:val="20"/>
                <w:szCs w:val="20"/>
              </w:rPr>
            </w:pPr>
            <w:r>
              <w:rPr>
                <w:rFonts w:ascii="Arial" w:hAnsi="Arial" w:cs="Arial"/>
                <w:color w:val="000000" w:themeColor="text1"/>
                <w:sz w:val="20"/>
                <w:szCs w:val="20"/>
              </w:rPr>
              <w:t>Is there</w:t>
            </w:r>
            <w:r w:rsidR="00BD727E" w:rsidRPr="00BD727E">
              <w:rPr>
                <w:rFonts w:ascii="Arial" w:hAnsi="Arial" w:cs="Arial"/>
                <w:color w:val="000000" w:themeColor="text1"/>
                <w:sz w:val="20"/>
                <w:szCs w:val="20"/>
              </w:rPr>
              <w:t xml:space="preserve"> wide-ranging potential for uptake at UQ based on research interest? </w:t>
            </w:r>
          </w:p>
          <w:p w14:paraId="5DCF5D21" w14:textId="77777777" w:rsidR="00FA4396" w:rsidRDefault="00FA4396" w:rsidP="00BD727E">
            <w:pPr>
              <w:rPr>
                <w:rFonts w:ascii="Arial" w:hAnsi="Arial" w:cs="Arial"/>
                <w:color w:val="000000" w:themeColor="text1"/>
                <w:sz w:val="20"/>
                <w:szCs w:val="20"/>
              </w:rPr>
            </w:pPr>
          </w:p>
          <w:p w14:paraId="545F8E61" w14:textId="50A4EC1A" w:rsidR="00BD727E" w:rsidRPr="00D26378" w:rsidRDefault="00FA4396" w:rsidP="00BD727E">
            <w:pPr>
              <w:rPr>
                <w:rFonts w:ascii="Arial" w:hAnsi="Arial" w:cs="Arial"/>
                <w:color w:val="000000" w:themeColor="text1"/>
                <w:sz w:val="20"/>
                <w:szCs w:val="20"/>
              </w:rPr>
            </w:pPr>
            <w:r>
              <w:rPr>
                <w:rFonts w:ascii="Arial" w:hAnsi="Arial" w:cs="Arial"/>
                <w:color w:val="000000" w:themeColor="text1"/>
                <w:sz w:val="20"/>
                <w:szCs w:val="20"/>
              </w:rPr>
              <w:t>Is there</w:t>
            </w:r>
            <w:r w:rsidR="00BD727E" w:rsidRPr="00BD727E">
              <w:rPr>
                <w:rFonts w:ascii="Arial" w:hAnsi="Arial" w:cs="Arial"/>
                <w:color w:val="000000" w:themeColor="text1"/>
                <w:sz w:val="20"/>
                <w:szCs w:val="20"/>
              </w:rPr>
              <w:t xml:space="preserve"> a clear path for future a</w:t>
            </w:r>
            <w:r>
              <w:rPr>
                <w:rFonts w:ascii="Arial" w:hAnsi="Arial" w:cs="Arial"/>
                <w:color w:val="000000" w:themeColor="text1"/>
                <w:sz w:val="20"/>
                <w:szCs w:val="20"/>
              </w:rPr>
              <w:t>vailability</w:t>
            </w:r>
            <w:r w:rsidR="00BD727E" w:rsidRPr="00BD727E">
              <w:rPr>
                <w:rFonts w:ascii="Arial" w:hAnsi="Arial" w:cs="Arial"/>
                <w:color w:val="000000" w:themeColor="text1"/>
                <w:sz w:val="20"/>
                <w:szCs w:val="20"/>
              </w:rPr>
              <w:t xml:space="preserve"> of techniques</w:t>
            </w:r>
            <w:r w:rsidR="00491D45">
              <w:rPr>
                <w:rFonts w:ascii="Arial" w:hAnsi="Arial" w:cs="Arial"/>
                <w:color w:val="000000" w:themeColor="text1"/>
                <w:sz w:val="20"/>
                <w:szCs w:val="20"/>
              </w:rPr>
              <w:t xml:space="preserve"> and is this</w:t>
            </w:r>
            <w:r w:rsidR="00BD727E" w:rsidRPr="00BD727E">
              <w:rPr>
                <w:rFonts w:ascii="Arial" w:hAnsi="Arial" w:cs="Arial"/>
                <w:color w:val="000000" w:themeColor="text1"/>
                <w:sz w:val="20"/>
                <w:szCs w:val="20"/>
              </w:rPr>
              <w:t xml:space="preserve"> outlined</w:t>
            </w:r>
            <w:r w:rsidR="00491D45">
              <w:rPr>
                <w:rFonts w:ascii="Arial" w:hAnsi="Arial" w:cs="Arial"/>
                <w:color w:val="000000" w:themeColor="text1"/>
                <w:sz w:val="20"/>
                <w:szCs w:val="20"/>
              </w:rPr>
              <w:t xml:space="preserve"> in the proposal</w:t>
            </w:r>
            <w:r w:rsidR="00BD727E" w:rsidRPr="00BD727E">
              <w:rPr>
                <w:rFonts w:ascii="Arial" w:hAnsi="Arial" w:cs="Arial"/>
                <w:color w:val="000000" w:themeColor="text1"/>
                <w:sz w:val="20"/>
                <w:szCs w:val="20"/>
              </w:rPr>
              <w:t>?</w:t>
            </w:r>
          </w:p>
          <w:p w14:paraId="48737782" w14:textId="77777777" w:rsidR="005C61EC" w:rsidRPr="00D26378" w:rsidRDefault="005C61EC" w:rsidP="00BD727E">
            <w:pPr>
              <w:rPr>
                <w:rFonts w:ascii="Arial" w:hAnsi="Arial" w:cs="Arial"/>
                <w:color w:val="000000" w:themeColor="text1"/>
                <w:sz w:val="20"/>
                <w:szCs w:val="20"/>
              </w:rPr>
            </w:pPr>
          </w:p>
          <w:p w14:paraId="2E1849DE" w14:textId="26EDAF0A" w:rsidR="00BD727E" w:rsidRPr="00BD727E" w:rsidRDefault="00192897" w:rsidP="00BD727E">
            <w:pPr>
              <w:rPr>
                <w:rFonts w:ascii="Arial" w:hAnsi="Arial" w:cs="Arial"/>
                <w:color w:val="000000" w:themeColor="text1"/>
                <w:sz w:val="20"/>
                <w:szCs w:val="20"/>
              </w:rPr>
            </w:pPr>
            <w:hyperlink r:id="rId11" w:history="1">
              <w:r w:rsidR="005C61EC" w:rsidRPr="00BD727E">
                <w:rPr>
                  <w:rStyle w:val="Hyperlink"/>
                  <w:rFonts w:ascii="Arial" w:hAnsi="Arial" w:cs="Arial"/>
                  <w:color w:val="000000" w:themeColor="text1"/>
                  <w:sz w:val="20"/>
                  <w:szCs w:val="20"/>
                </w:rPr>
                <w:t>https://research.uq.edu.au/research-infrastructure</w:t>
              </w:r>
            </w:hyperlink>
          </w:p>
          <w:p w14:paraId="080B69C4" w14:textId="1A85C9B0" w:rsidR="00BD727E" w:rsidRPr="00D26378" w:rsidRDefault="00BD727E" w:rsidP="005A6CC7">
            <w:pPr>
              <w:rPr>
                <w:rFonts w:ascii="Arial" w:hAnsi="Arial" w:cs="Arial"/>
                <w:color w:val="000000" w:themeColor="text1"/>
                <w:sz w:val="20"/>
                <w:szCs w:val="20"/>
              </w:rPr>
            </w:pPr>
          </w:p>
        </w:tc>
      </w:tr>
      <w:tr w:rsidR="00B545EC" w:rsidRPr="00D26378" w14:paraId="0EA4B9E4" w14:textId="77777777" w:rsidTr="00B545EC">
        <w:trPr>
          <w:gridAfter w:val="1"/>
          <w:wAfter w:w="567" w:type="dxa"/>
        </w:trPr>
        <w:tc>
          <w:tcPr>
            <w:tcW w:w="3686" w:type="dxa"/>
            <w:tcBorders>
              <w:top w:val="single" w:sz="4" w:space="0" w:color="auto"/>
              <w:bottom w:val="single" w:sz="4" w:space="0" w:color="auto"/>
            </w:tcBorders>
          </w:tcPr>
          <w:p w14:paraId="64B3D78F" w14:textId="33474FCB" w:rsidR="00B545EC" w:rsidRPr="00C73CC4" w:rsidRDefault="00BD727E" w:rsidP="00BD727E">
            <w:pPr>
              <w:pStyle w:val="ListParagraph0"/>
              <w:numPr>
                <w:ilvl w:val="0"/>
                <w:numId w:val="16"/>
              </w:numPr>
              <w:rPr>
                <w:rFonts w:ascii="Arial" w:hAnsi="Arial" w:cs="Arial"/>
                <w:color w:val="4F2379"/>
                <w:szCs w:val="20"/>
              </w:rPr>
            </w:pPr>
            <w:r w:rsidRPr="00C73CC4">
              <w:rPr>
                <w:rFonts w:ascii="Arial" w:hAnsi="Arial" w:cs="Arial"/>
                <w:color w:val="4F2379"/>
                <w:szCs w:val="20"/>
              </w:rPr>
              <w:t>Feasibility</w:t>
            </w:r>
            <w:r w:rsidR="00B545EC" w:rsidRPr="00C73CC4">
              <w:rPr>
                <w:rFonts w:ascii="Arial" w:hAnsi="Arial" w:cs="Arial"/>
                <w:color w:val="4F2379"/>
                <w:szCs w:val="20"/>
              </w:rPr>
              <w:t xml:space="preserve"> </w:t>
            </w:r>
          </w:p>
          <w:p w14:paraId="4C22E50E" w14:textId="70A0D261" w:rsidR="00BD727E" w:rsidRPr="00D26378" w:rsidRDefault="00BD727E" w:rsidP="00B545EC">
            <w:pPr>
              <w:pStyle w:val="ListParagraph0"/>
              <w:ind w:left="720"/>
              <w:rPr>
                <w:rFonts w:ascii="Arial" w:hAnsi="Arial" w:cs="Arial"/>
                <w:color w:val="7030A0"/>
                <w:szCs w:val="20"/>
              </w:rPr>
            </w:pPr>
            <w:r w:rsidRPr="00C73CC4">
              <w:rPr>
                <w:rFonts w:ascii="Arial" w:hAnsi="Arial" w:cs="Arial"/>
                <w:color w:val="4F2379"/>
                <w:szCs w:val="20"/>
              </w:rPr>
              <w:t>(20%)</w:t>
            </w:r>
          </w:p>
        </w:tc>
        <w:tc>
          <w:tcPr>
            <w:tcW w:w="5245" w:type="dxa"/>
            <w:gridSpan w:val="2"/>
            <w:tcBorders>
              <w:top w:val="single" w:sz="4" w:space="0" w:color="auto"/>
              <w:bottom w:val="single" w:sz="4" w:space="0" w:color="auto"/>
            </w:tcBorders>
          </w:tcPr>
          <w:p w14:paraId="3E58E882" w14:textId="0223F3E9" w:rsidR="005C61EC" w:rsidRPr="005C61EC" w:rsidRDefault="005C61EC" w:rsidP="005C61EC">
            <w:pPr>
              <w:rPr>
                <w:rFonts w:ascii="Arial" w:hAnsi="Arial" w:cs="Arial"/>
                <w:color w:val="000000" w:themeColor="text1"/>
                <w:sz w:val="20"/>
                <w:szCs w:val="20"/>
              </w:rPr>
            </w:pPr>
            <w:r w:rsidRPr="005C61EC">
              <w:rPr>
                <w:rFonts w:ascii="Arial" w:hAnsi="Arial" w:cs="Arial"/>
                <w:color w:val="000000" w:themeColor="text1"/>
                <w:sz w:val="20"/>
                <w:szCs w:val="20"/>
              </w:rPr>
              <w:t>Do rationale/preliminary experiments convincingly demonstrate feasibility of project and fit with GIH wet-lab and bioinformatic expertise?</w:t>
            </w:r>
          </w:p>
          <w:p w14:paraId="71BA2EDD" w14:textId="07F0D516" w:rsidR="005C61EC" w:rsidRPr="00D26378" w:rsidRDefault="005C61EC" w:rsidP="005A6CC7">
            <w:pPr>
              <w:rPr>
                <w:rFonts w:ascii="Arial" w:hAnsi="Arial" w:cs="Arial"/>
                <w:color w:val="000000" w:themeColor="text1"/>
                <w:sz w:val="20"/>
                <w:szCs w:val="20"/>
              </w:rPr>
            </w:pPr>
          </w:p>
        </w:tc>
      </w:tr>
      <w:tr w:rsidR="00B545EC" w:rsidRPr="00D26378" w14:paraId="519AD20F" w14:textId="77777777" w:rsidTr="00B545EC">
        <w:trPr>
          <w:gridAfter w:val="1"/>
          <w:wAfter w:w="567" w:type="dxa"/>
        </w:trPr>
        <w:tc>
          <w:tcPr>
            <w:tcW w:w="3686" w:type="dxa"/>
            <w:tcBorders>
              <w:top w:val="single" w:sz="4" w:space="0" w:color="auto"/>
              <w:bottom w:val="single" w:sz="4" w:space="0" w:color="auto"/>
            </w:tcBorders>
          </w:tcPr>
          <w:p w14:paraId="51957D53" w14:textId="6D3C633D" w:rsidR="00B545EC" w:rsidRPr="00C73CC4" w:rsidRDefault="00491D45" w:rsidP="00BD727E">
            <w:pPr>
              <w:pStyle w:val="ListParagraph0"/>
              <w:numPr>
                <w:ilvl w:val="0"/>
                <w:numId w:val="16"/>
              </w:numPr>
              <w:rPr>
                <w:rFonts w:ascii="Arial" w:hAnsi="Arial" w:cs="Arial"/>
                <w:color w:val="4F2379"/>
                <w:szCs w:val="20"/>
              </w:rPr>
            </w:pPr>
            <w:r>
              <w:rPr>
                <w:rFonts w:ascii="Arial" w:hAnsi="Arial" w:cs="Arial"/>
                <w:color w:val="4F2379"/>
                <w:szCs w:val="20"/>
              </w:rPr>
              <w:t>Team Quality</w:t>
            </w:r>
            <w:r w:rsidR="005C61EC" w:rsidRPr="00C73CC4">
              <w:rPr>
                <w:rFonts w:ascii="Arial" w:hAnsi="Arial" w:cs="Arial"/>
                <w:color w:val="4F2379"/>
                <w:szCs w:val="20"/>
              </w:rPr>
              <w:t xml:space="preserve"> </w:t>
            </w:r>
          </w:p>
          <w:p w14:paraId="607C1EFE" w14:textId="626180C2" w:rsidR="00BD727E" w:rsidRPr="00D26378" w:rsidRDefault="005C61EC" w:rsidP="00B545EC">
            <w:pPr>
              <w:pStyle w:val="ListParagraph0"/>
              <w:ind w:left="720"/>
              <w:rPr>
                <w:rFonts w:ascii="Arial" w:hAnsi="Arial" w:cs="Arial"/>
                <w:color w:val="7030A0"/>
                <w:szCs w:val="20"/>
              </w:rPr>
            </w:pPr>
            <w:r w:rsidRPr="00C73CC4">
              <w:rPr>
                <w:rFonts w:ascii="Arial" w:hAnsi="Arial" w:cs="Arial"/>
                <w:color w:val="4F2379"/>
                <w:szCs w:val="20"/>
              </w:rPr>
              <w:t>(10%)</w:t>
            </w:r>
          </w:p>
        </w:tc>
        <w:tc>
          <w:tcPr>
            <w:tcW w:w="5245" w:type="dxa"/>
            <w:gridSpan w:val="2"/>
            <w:tcBorders>
              <w:top w:val="single" w:sz="4" w:space="0" w:color="auto"/>
              <w:bottom w:val="single" w:sz="4" w:space="0" w:color="auto"/>
            </w:tcBorders>
          </w:tcPr>
          <w:p w14:paraId="09E815F0" w14:textId="596ABE38" w:rsidR="00BD727E" w:rsidRDefault="005C61EC" w:rsidP="005A6CC7">
            <w:pPr>
              <w:rPr>
                <w:rFonts w:ascii="Arial" w:hAnsi="Arial" w:cs="Arial"/>
                <w:color w:val="000000" w:themeColor="text1"/>
                <w:sz w:val="20"/>
                <w:szCs w:val="20"/>
              </w:rPr>
            </w:pPr>
            <w:r w:rsidRPr="00D26378">
              <w:rPr>
                <w:rFonts w:ascii="Arial" w:hAnsi="Arial" w:cs="Arial"/>
                <w:color w:val="000000" w:themeColor="text1"/>
                <w:sz w:val="20"/>
                <w:szCs w:val="20"/>
              </w:rPr>
              <w:t xml:space="preserve">Does the </w:t>
            </w:r>
            <w:r w:rsidR="00491D45">
              <w:rPr>
                <w:rFonts w:ascii="Arial" w:hAnsi="Arial" w:cs="Arial"/>
                <w:color w:val="000000" w:themeColor="text1"/>
                <w:sz w:val="20"/>
                <w:szCs w:val="20"/>
              </w:rPr>
              <w:t>collaborating team have track record/capability in the proposed area</w:t>
            </w:r>
            <w:r w:rsidRPr="00D26378">
              <w:rPr>
                <w:rFonts w:ascii="Arial" w:hAnsi="Arial" w:cs="Arial"/>
                <w:color w:val="000000" w:themeColor="text1"/>
                <w:sz w:val="20"/>
                <w:szCs w:val="20"/>
              </w:rPr>
              <w:t>?</w:t>
            </w:r>
          </w:p>
          <w:p w14:paraId="6F104B73" w14:textId="5F2B6433" w:rsidR="00491D45" w:rsidRDefault="00491D45" w:rsidP="005A6CC7">
            <w:pPr>
              <w:rPr>
                <w:rFonts w:ascii="Arial" w:hAnsi="Arial" w:cs="Arial"/>
                <w:color w:val="000000" w:themeColor="text1"/>
                <w:sz w:val="20"/>
                <w:szCs w:val="20"/>
              </w:rPr>
            </w:pPr>
          </w:p>
          <w:p w14:paraId="1EAFE83F" w14:textId="229843E5" w:rsidR="00491D45" w:rsidRPr="00D26378" w:rsidRDefault="00491D45" w:rsidP="005A6CC7">
            <w:pPr>
              <w:rPr>
                <w:rFonts w:ascii="Arial" w:hAnsi="Arial" w:cs="Arial"/>
                <w:color w:val="000000" w:themeColor="text1"/>
                <w:sz w:val="20"/>
                <w:szCs w:val="20"/>
              </w:rPr>
            </w:pPr>
            <w:r>
              <w:rPr>
                <w:rFonts w:ascii="Arial" w:hAnsi="Arial" w:cs="Arial"/>
                <w:color w:val="000000" w:themeColor="text1"/>
                <w:sz w:val="20"/>
                <w:szCs w:val="20"/>
              </w:rPr>
              <w:t>(Please note: this criteria considers the team as a whole. Students and ECRs are strongly encouraged to apply as lead investigators with support from their supervisors.)</w:t>
            </w:r>
          </w:p>
          <w:p w14:paraId="14BDD4D6" w14:textId="38936720" w:rsidR="005C61EC" w:rsidRPr="00D26378" w:rsidRDefault="005C61EC" w:rsidP="005A6CC7">
            <w:pPr>
              <w:rPr>
                <w:rFonts w:ascii="Arial" w:hAnsi="Arial" w:cs="Arial"/>
                <w:color w:val="000000" w:themeColor="text1"/>
                <w:sz w:val="20"/>
                <w:szCs w:val="20"/>
              </w:rPr>
            </w:pPr>
          </w:p>
        </w:tc>
      </w:tr>
      <w:tr w:rsidR="00B545EC" w:rsidRPr="00D26378" w14:paraId="59BBE19E" w14:textId="77777777" w:rsidTr="00B545EC">
        <w:trPr>
          <w:gridAfter w:val="1"/>
          <w:wAfter w:w="567" w:type="dxa"/>
        </w:trPr>
        <w:tc>
          <w:tcPr>
            <w:tcW w:w="3686" w:type="dxa"/>
            <w:tcBorders>
              <w:top w:val="single" w:sz="4" w:space="0" w:color="auto"/>
            </w:tcBorders>
          </w:tcPr>
          <w:p w14:paraId="62FD4AA6" w14:textId="3810F457" w:rsidR="00B545EC" w:rsidRPr="00C73CC4" w:rsidRDefault="00491D45" w:rsidP="005C61EC">
            <w:pPr>
              <w:pStyle w:val="ListParagraph0"/>
              <w:numPr>
                <w:ilvl w:val="0"/>
                <w:numId w:val="16"/>
              </w:numPr>
              <w:rPr>
                <w:rFonts w:ascii="Arial" w:hAnsi="Arial" w:cs="Arial"/>
                <w:color w:val="4F2379"/>
                <w:szCs w:val="20"/>
              </w:rPr>
            </w:pPr>
            <w:r>
              <w:rPr>
                <w:rFonts w:ascii="Arial" w:hAnsi="Arial" w:cs="Arial"/>
                <w:color w:val="4F2379"/>
                <w:szCs w:val="20"/>
              </w:rPr>
              <w:t>Co-contribution</w:t>
            </w:r>
            <w:r w:rsidR="005C61EC" w:rsidRPr="00C73CC4">
              <w:rPr>
                <w:rFonts w:ascii="Arial" w:hAnsi="Arial" w:cs="Arial"/>
                <w:color w:val="4F2379"/>
                <w:szCs w:val="20"/>
              </w:rPr>
              <w:t xml:space="preserve"> </w:t>
            </w:r>
          </w:p>
          <w:p w14:paraId="3B796BC1" w14:textId="6EF5B3BD" w:rsidR="00BD727E" w:rsidRPr="00D26378" w:rsidRDefault="005C61EC" w:rsidP="00B545EC">
            <w:pPr>
              <w:pStyle w:val="ListParagraph0"/>
              <w:ind w:left="720"/>
              <w:rPr>
                <w:rFonts w:ascii="Arial" w:hAnsi="Arial" w:cs="Arial"/>
                <w:color w:val="7030A0"/>
                <w:szCs w:val="20"/>
              </w:rPr>
            </w:pPr>
            <w:r w:rsidRPr="00C73CC4">
              <w:rPr>
                <w:rFonts w:ascii="Arial" w:hAnsi="Arial" w:cs="Arial"/>
                <w:color w:val="4F2379"/>
                <w:szCs w:val="20"/>
              </w:rPr>
              <w:t>(10%)</w:t>
            </w:r>
          </w:p>
        </w:tc>
        <w:tc>
          <w:tcPr>
            <w:tcW w:w="5245" w:type="dxa"/>
            <w:gridSpan w:val="2"/>
            <w:tcBorders>
              <w:top w:val="single" w:sz="4" w:space="0" w:color="auto"/>
            </w:tcBorders>
          </w:tcPr>
          <w:p w14:paraId="3C27B0F1" w14:textId="60C55913" w:rsidR="00BD727E" w:rsidRPr="00D26378" w:rsidRDefault="00646167" w:rsidP="005A6CC7">
            <w:pPr>
              <w:rPr>
                <w:rFonts w:ascii="Arial" w:hAnsi="Arial" w:cs="Arial"/>
                <w:color w:val="000000" w:themeColor="text1"/>
                <w:sz w:val="20"/>
                <w:szCs w:val="20"/>
              </w:rPr>
            </w:pPr>
            <w:r>
              <w:rPr>
                <w:rFonts w:ascii="Arial" w:hAnsi="Arial" w:cs="Arial"/>
                <w:color w:val="000000" w:themeColor="text1"/>
                <w:sz w:val="20"/>
                <w:szCs w:val="20"/>
              </w:rPr>
              <w:t>Does the project contain inclusion of leveraged support or in-kind contribution (from UQ researchers/from industry)</w:t>
            </w:r>
            <w:r w:rsidR="005C61EC" w:rsidRPr="00D26378">
              <w:rPr>
                <w:rFonts w:ascii="Arial" w:hAnsi="Arial" w:cs="Arial"/>
                <w:color w:val="000000" w:themeColor="text1"/>
                <w:sz w:val="20"/>
                <w:szCs w:val="20"/>
              </w:rPr>
              <w:t>?</w:t>
            </w:r>
          </w:p>
        </w:tc>
      </w:tr>
    </w:tbl>
    <w:p w14:paraId="0EF19A18" w14:textId="1632B7A0" w:rsidR="00BD727E" w:rsidRDefault="00BD727E" w:rsidP="005A6CC7">
      <w:pPr>
        <w:rPr>
          <w:rFonts w:ascii="Arial" w:hAnsi="Arial" w:cs="Arial"/>
        </w:rPr>
      </w:pPr>
    </w:p>
    <w:p w14:paraId="32BB3BB5" w14:textId="53EE6CA3" w:rsidR="00521F21" w:rsidRDefault="00521F21" w:rsidP="005A6CC7">
      <w:pPr>
        <w:rPr>
          <w:rFonts w:ascii="Arial" w:hAnsi="Arial" w:cs="Arial"/>
        </w:rPr>
      </w:pPr>
    </w:p>
    <w:p w14:paraId="037F3A51" w14:textId="5C284A1D" w:rsidR="00521F21" w:rsidRPr="00FD60C4" w:rsidRDefault="00521F21" w:rsidP="00521F21">
      <w:pPr>
        <w:pStyle w:val="Heading2"/>
        <w:spacing w:before="1"/>
        <w:rPr>
          <w:rFonts w:cstheme="majorHAnsi"/>
          <w:b w:val="0"/>
        </w:rPr>
      </w:pPr>
      <w:r w:rsidRPr="00FD60C4">
        <w:rPr>
          <w:rFonts w:cstheme="majorHAnsi"/>
          <w:b w:val="0"/>
          <w:color w:val="502379"/>
        </w:rPr>
        <w:t>Timelines for evaluation</w:t>
      </w:r>
    </w:p>
    <w:p w14:paraId="61610F93" w14:textId="28CC9404" w:rsidR="00521F21" w:rsidRDefault="00521F21" w:rsidP="00521F21">
      <w:pPr>
        <w:pStyle w:val="BodyText"/>
        <w:spacing w:before="162" w:line="309" w:lineRule="auto"/>
        <w:ind w:left="135" w:right="628"/>
        <w:jc w:val="both"/>
      </w:pPr>
      <w:r>
        <w:t>Applications for 202</w:t>
      </w:r>
      <w:r w:rsidR="00C047E3">
        <w:t>3</w:t>
      </w:r>
      <w:r>
        <w:t xml:space="preserve"> </w:t>
      </w:r>
      <w:r w:rsidR="00646167">
        <w:t>Collaborative</w:t>
      </w:r>
      <w:r>
        <w:t xml:space="preserve"> Projects will open on </w:t>
      </w:r>
      <w:r w:rsidR="00646167">
        <w:t>Tuesday</w:t>
      </w:r>
      <w:r>
        <w:t xml:space="preserve">, </w:t>
      </w:r>
      <w:r w:rsidR="00646167">
        <w:t>4</w:t>
      </w:r>
      <w:r w:rsidR="00646167" w:rsidRPr="00646167">
        <w:rPr>
          <w:vertAlign w:val="superscript"/>
        </w:rPr>
        <w:t>th</w:t>
      </w:r>
      <w:r w:rsidR="00C047E3">
        <w:t xml:space="preserve"> </w:t>
      </w:r>
      <w:r>
        <w:t>October 202</w:t>
      </w:r>
      <w:r w:rsidR="00C047E3">
        <w:t>2</w:t>
      </w:r>
      <w:r>
        <w:t xml:space="preserve"> and will close on </w:t>
      </w:r>
      <w:r w:rsidR="00C047E3">
        <w:t>Monday</w:t>
      </w:r>
      <w:r>
        <w:t xml:space="preserve">, </w:t>
      </w:r>
      <w:r w:rsidR="008F5CCA">
        <w:t>2</w:t>
      </w:r>
      <w:r w:rsidR="00C047E3">
        <w:t>8</w:t>
      </w:r>
      <w:r>
        <w:rPr>
          <w:vertAlign w:val="superscript"/>
        </w:rPr>
        <w:t>th</w:t>
      </w:r>
      <w:r>
        <w:t xml:space="preserve"> </w:t>
      </w:r>
      <w:r w:rsidR="00C047E3">
        <w:t>November</w:t>
      </w:r>
      <w:r>
        <w:t xml:space="preserve"> 202</w:t>
      </w:r>
      <w:r w:rsidR="00C047E3">
        <w:t>2</w:t>
      </w:r>
      <w:r>
        <w:t xml:space="preserve">. </w:t>
      </w:r>
    </w:p>
    <w:p w14:paraId="42ECF198" w14:textId="593FEE78" w:rsidR="00521F21" w:rsidRDefault="00521F21" w:rsidP="000452C2">
      <w:pPr>
        <w:pStyle w:val="BodyText"/>
        <w:spacing w:before="162" w:line="309" w:lineRule="auto"/>
        <w:ind w:left="135" w:right="628"/>
        <w:jc w:val="both"/>
      </w:pPr>
      <w:r>
        <w:t xml:space="preserve">Following the closing date, projects for possible funding will be </w:t>
      </w:r>
      <w:r w:rsidR="00646167">
        <w:t>evaluated</w:t>
      </w:r>
      <w:r>
        <w:t xml:space="preserve"> and shortlisted by the GIH Management Group, with interviews for shortlisted applicants conducted in January 202</w:t>
      </w:r>
      <w:r w:rsidR="00ED4408">
        <w:t>3</w:t>
      </w:r>
      <w:r>
        <w:t>.</w:t>
      </w:r>
      <w:r w:rsidR="007F2AD3">
        <w:t xml:space="preserve"> </w:t>
      </w:r>
      <w:r>
        <w:t xml:space="preserve">The </w:t>
      </w:r>
      <w:r w:rsidR="00196B81">
        <w:t xml:space="preserve">final </w:t>
      </w:r>
      <w:r>
        <w:t xml:space="preserve">list of recommended projects will be forwarded to the PVC </w:t>
      </w:r>
      <w:r w:rsidR="00646167">
        <w:t>(</w:t>
      </w:r>
      <w:r>
        <w:t>Research Infrastructure</w:t>
      </w:r>
      <w:r w:rsidR="00646167">
        <w:t>)</w:t>
      </w:r>
      <w:r>
        <w:t xml:space="preserve"> for final approval.</w:t>
      </w:r>
      <w:r>
        <w:rPr>
          <w:spacing w:val="-5"/>
        </w:rPr>
        <w:t xml:space="preserve"> </w:t>
      </w:r>
      <w:r>
        <w:t>We</w:t>
      </w:r>
      <w:r>
        <w:rPr>
          <w:spacing w:val="-5"/>
        </w:rPr>
        <w:t xml:space="preserve"> </w:t>
      </w:r>
      <w:r>
        <w:t>anticipate</w:t>
      </w:r>
      <w:r>
        <w:rPr>
          <w:spacing w:val="-6"/>
        </w:rPr>
        <w:t xml:space="preserve"> </w:t>
      </w:r>
      <w:r>
        <w:t>being</w:t>
      </w:r>
      <w:r>
        <w:rPr>
          <w:spacing w:val="-6"/>
        </w:rPr>
        <w:t xml:space="preserve"> </w:t>
      </w:r>
      <w:r>
        <w:t>able</w:t>
      </w:r>
      <w:r>
        <w:rPr>
          <w:spacing w:val="-6"/>
        </w:rPr>
        <w:t xml:space="preserve"> </w:t>
      </w:r>
      <w:r>
        <w:t>to</w:t>
      </w:r>
      <w:r>
        <w:rPr>
          <w:spacing w:val="-6"/>
        </w:rPr>
        <w:t xml:space="preserve"> </w:t>
      </w:r>
      <w:r>
        <w:t>inform</w:t>
      </w:r>
      <w:r>
        <w:rPr>
          <w:spacing w:val="-6"/>
        </w:rPr>
        <w:t xml:space="preserve"> </w:t>
      </w:r>
      <w:r>
        <w:t>applicants</w:t>
      </w:r>
      <w:r>
        <w:rPr>
          <w:spacing w:val="-6"/>
        </w:rPr>
        <w:t xml:space="preserve"> </w:t>
      </w:r>
      <w:r>
        <w:t>of</w:t>
      </w:r>
      <w:r>
        <w:rPr>
          <w:spacing w:val="-6"/>
        </w:rPr>
        <w:t xml:space="preserve"> </w:t>
      </w:r>
      <w:r>
        <w:t>their</w:t>
      </w:r>
      <w:r>
        <w:rPr>
          <w:spacing w:val="-6"/>
        </w:rPr>
        <w:t xml:space="preserve"> </w:t>
      </w:r>
      <w:r>
        <w:t>success</w:t>
      </w:r>
      <w:r>
        <w:rPr>
          <w:spacing w:val="-5"/>
        </w:rPr>
        <w:t xml:space="preserve"> </w:t>
      </w:r>
      <w:r>
        <w:t>(or</w:t>
      </w:r>
      <w:r>
        <w:rPr>
          <w:spacing w:val="-6"/>
        </w:rPr>
        <w:t xml:space="preserve"> </w:t>
      </w:r>
      <w:r>
        <w:t>otherwise)</w:t>
      </w:r>
      <w:r>
        <w:rPr>
          <w:spacing w:val="-6"/>
        </w:rPr>
        <w:t xml:space="preserve"> </w:t>
      </w:r>
      <w:r>
        <w:t>by</w:t>
      </w:r>
      <w:r>
        <w:rPr>
          <w:spacing w:val="-5"/>
        </w:rPr>
        <w:t xml:space="preserve"> </w:t>
      </w:r>
      <w:r w:rsidR="00646167">
        <w:rPr>
          <w:spacing w:val="-5"/>
        </w:rPr>
        <w:t>February</w:t>
      </w:r>
      <w:r>
        <w:rPr>
          <w:spacing w:val="-5"/>
        </w:rPr>
        <w:t xml:space="preserve"> 202</w:t>
      </w:r>
      <w:r w:rsidR="00ED4408">
        <w:rPr>
          <w:spacing w:val="-5"/>
        </w:rPr>
        <w:t>3</w:t>
      </w:r>
      <w:r>
        <w:t>.</w:t>
      </w:r>
    </w:p>
    <w:p w14:paraId="3CC94A99" w14:textId="77777777" w:rsidR="00192897" w:rsidRDefault="00192897" w:rsidP="005018A7">
      <w:pPr>
        <w:pStyle w:val="Heading2"/>
        <w:jc w:val="both"/>
        <w:rPr>
          <w:rFonts w:cstheme="majorHAnsi"/>
          <w:b w:val="0"/>
          <w:color w:val="502379"/>
        </w:rPr>
      </w:pPr>
    </w:p>
    <w:p w14:paraId="1BC22DC4" w14:textId="0ACEDB8C" w:rsidR="005018A7" w:rsidRPr="00FD60C4" w:rsidRDefault="005018A7" w:rsidP="005018A7">
      <w:pPr>
        <w:pStyle w:val="Heading2"/>
        <w:jc w:val="both"/>
        <w:rPr>
          <w:rFonts w:cstheme="majorHAnsi"/>
          <w:b w:val="0"/>
        </w:rPr>
      </w:pPr>
      <w:r w:rsidRPr="00FD60C4">
        <w:rPr>
          <w:rFonts w:cstheme="majorHAnsi"/>
          <w:b w:val="0"/>
          <w:color w:val="502379"/>
        </w:rPr>
        <w:t>Enquiries and feedback</w:t>
      </w:r>
    </w:p>
    <w:p w14:paraId="0C7FBEAA" w14:textId="4D033EA1" w:rsidR="005018A7" w:rsidRDefault="005018A7" w:rsidP="005018A7">
      <w:pPr>
        <w:pStyle w:val="BodyText"/>
      </w:pPr>
      <w:r>
        <w:t>If you are considering submitting an application, it</w:t>
      </w:r>
      <w:r w:rsidR="005C104C">
        <w:t xml:space="preserve"> i</w:t>
      </w:r>
      <w:r>
        <w:t xml:space="preserve">s strongly recommended that you get in touch to discuss your proposal. We </w:t>
      </w:r>
      <w:r w:rsidR="003F5E91">
        <w:t>can</w:t>
      </w:r>
      <w:r>
        <w:t xml:space="preserve"> </w:t>
      </w:r>
      <w:r w:rsidR="003F5E91">
        <w:t>help you develop your idea and provide</w:t>
      </w:r>
      <w:r>
        <w:t xml:space="preserve"> feedback on</w:t>
      </w:r>
      <w:r w:rsidR="005C104C">
        <w:t xml:space="preserve"> your application prior to submission. Alternatively, come along to one of our informal project websites where you can meet the team and talk about your </w:t>
      </w:r>
      <w:r w:rsidR="005E2A3E">
        <w:t>project</w:t>
      </w:r>
      <w:r w:rsidR="005C104C">
        <w:t>; details are available on our website.</w:t>
      </w:r>
    </w:p>
    <w:p w14:paraId="51F76A0B" w14:textId="77777777" w:rsidR="00192897" w:rsidRDefault="00192897" w:rsidP="00521F21">
      <w:pPr>
        <w:pStyle w:val="Heading2"/>
        <w:jc w:val="both"/>
        <w:rPr>
          <w:rFonts w:cstheme="majorHAnsi"/>
          <w:b w:val="0"/>
          <w:color w:val="502379"/>
        </w:rPr>
      </w:pPr>
    </w:p>
    <w:p w14:paraId="03BB97A3" w14:textId="113FA707" w:rsidR="00521F21" w:rsidRPr="00FD60C4" w:rsidRDefault="00521F21" w:rsidP="00521F21">
      <w:pPr>
        <w:pStyle w:val="Heading2"/>
        <w:jc w:val="both"/>
        <w:rPr>
          <w:rFonts w:cstheme="majorHAnsi"/>
          <w:b w:val="0"/>
        </w:rPr>
      </w:pPr>
      <w:r w:rsidRPr="00FD60C4">
        <w:rPr>
          <w:rFonts w:cstheme="majorHAnsi"/>
          <w:b w:val="0"/>
          <w:color w:val="502379"/>
        </w:rPr>
        <w:t>Submission</w:t>
      </w:r>
    </w:p>
    <w:p w14:paraId="4EB4FB17" w14:textId="0087F78B" w:rsidR="00521F21" w:rsidRDefault="00521F21" w:rsidP="00192897">
      <w:pPr>
        <w:pStyle w:val="BodyText"/>
        <w:spacing w:before="162"/>
        <w:jc w:val="both"/>
      </w:pPr>
      <w:r>
        <w:t xml:space="preserve">Email completed GIH </w:t>
      </w:r>
      <w:r w:rsidR="00646167">
        <w:t>Collaborative</w:t>
      </w:r>
      <w:r>
        <w:t xml:space="preserve"> Project Applications to </w:t>
      </w:r>
      <w:hyperlink r:id="rId12">
        <w:r>
          <w:rPr>
            <w:color w:val="502379"/>
            <w:u w:val="single" w:color="502379"/>
          </w:rPr>
          <w:t>GIHapplic</w:t>
        </w:r>
      </w:hyperlink>
      <w:hyperlink r:id="rId13">
        <w:r>
          <w:rPr>
            <w:color w:val="502379"/>
            <w:u w:val="single" w:color="502379"/>
          </w:rPr>
          <w:t>ations@uq.edu.au</w:t>
        </w:r>
      </w:hyperlink>
    </w:p>
    <w:p w14:paraId="7CCA99E7" w14:textId="174DFD93" w:rsidR="00521F21" w:rsidRDefault="00521F21" w:rsidP="005A6CC7">
      <w:pPr>
        <w:rPr>
          <w:rFonts w:ascii="Arial" w:hAnsi="Arial" w:cs="Arial"/>
        </w:rPr>
      </w:pPr>
    </w:p>
    <w:p w14:paraId="76AF501B" w14:textId="750F57F9" w:rsidR="00E02710" w:rsidRPr="00FD60C4" w:rsidRDefault="00E02710" w:rsidP="00E02710">
      <w:pPr>
        <w:pStyle w:val="Heading2"/>
        <w:jc w:val="both"/>
        <w:rPr>
          <w:rFonts w:cstheme="majorHAnsi"/>
          <w:b w:val="0"/>
          <w:color w:val="502379"/>
        </w:rPr>
      </w:pPr>
      <w:r w:rsidRPr="00FD60C4">
        <w:rPr>
          <w:rFonts w:cstheme="majorHAnsi"/>
          <w:b w:val="0"/>
          <w:color w:val="502379"/>
        </w:rPr>
        <w:t xml:space="preserve">GIH </w:t>
      </w:r>
      <w:r w:rsidRPr="00FD60C4">
        <w:rPr>
          <w:rFonts w:cstheme="majorHAnsi"/>
          <w:b w:val="0"/>
          <w:color w:val="4F2379"/>
        </w:rPr>
        <w:t>collaborative</w:t>
      </w:r>
      <w:r w:rsidRPr="00FD60C4">
        <w:rPr>
          <w:rFonts w:cstheme="majorHAnsi"/>
          <w:b w:val="0"/>
          <w:color w:val="502379"/>
        </w:rPr>
        <w:t xml:space="preserve"> projects</w:t>
      </w:r>
    </w:p>
    <w:p w14:paraId="5873BD63" w14:textId="57EDB090" w:rsidR="00E02710" w:rsidRPr="00E02710" w:rsidRDefault="00E02710" w:rsidP="00E02710">
      <w:pPr>
        <w:pStyle w:val="BodyText"/>
        <w:rPr>
          <w:lang w:val="en-GB"/>
        </w:rPr>
      </w:pPr>
      <w:r>
        <w:rPr>
          <w:lang w:val="en-GB"/>
        </w:rPr>
        <w:t xml:space="preserve">GIH’s collaborative projects </w:t>
      </w:r>
      <w:r w:rsidRPr="00E02710">
        <w:rPr>
          <w:lang w:val="en-GB"/>
        </w:rPr>
        <w:t xml:space="preserve">represent genomic innovation in a wide range of techniques including transcriptomics, long read sequencing, genome editing, proteomics and genomic data visualisation. </w:t>
      </w:r>
    </w:p>
    <w:p w14:paraId="6B357653" w14:textId="38E90F74" w:rsidR="00E02710" w:rsidRDefault="00E02710" w:rsidP="00E02710">
      <w:pPr>
        <w:pStyle w:val="BodyText"/>
        <w:rPr>
          <w:lang w:val="en-GB"/>
        </w:rPr>
      </w:pPr>
      <w:r w:rsidRPr="00E02710">
        <w:rPr>
          <w:lang w:val="en-GB"/>
        </w:rPr>
        <w:t>The</w:t>
      </w:r>
      <w:r>
        <w:rPr>
          <w:lang w:val="en-GB"/>
        </w:rPr>
        <w:t xml:space="preserve"> </w:t>
      </w:r>
      <w:r w:rsidRPr="00E02710">
        <w:rPr>
          <w:lang w:val="en-GB"/>
        </w:rPr>
        <w:t>projects</w:t>
      </w:r>
      <w:r w:rsidR="00814CA5">
        <w:rPr>
          <w:lang w:val="en-GB"/>
        </w:rPr>
        <w:t xml:space="preserve"> </w:t>
      </w:r>
      <w:r w:rsidRPr="00E02710">
        <w:rPr>
          <w:lang w:val="en-GB"/>
        </w:rPr>
        <w:t xml:space="preserve">are actively </w:t>
      </w:r>
      <w:r>
        <w:rPr>
          <w:lang w:val="en-GB"/>
        </w:rPr>
        <w:t>undertaken</w:t>
      </w:r>
      <w:r w:rsidRPr="00E02710">
        <w:rPr>
          <w:lang w:val="en-GB"/>
        </w:rPr>
        <w:t xml:space="preserve"> </w:t>
      </w:r>
      <w:r w:rsidR="00814CA5">
        <w:rPr>
          <w:lang w:val="en-GB"/>
        </w:rPr>
        <w:t>by</w:t>
      </w:r>
      <w:r w:rsidRPr="00E02710">
        <w:rPr>
          <w:lang w:val="en-GB"/>
        </w:rPr>
        <w:t xml:space="preserve"> the GIH team and the collaborating research groups</w:t>
      </w:r>
      <w:r>
        <w:rPr>
          <w:lang w:val="en-GB"/>
        </w:rPr>
        <w:t xml:space="preserve"> working </w:t>
      </w:r>
      <w:r w:rsidR="00814CA5">
        <w:rPr>
          <w:lang w:val="en-GB"/>
        </w:rPr>
        <w:t xml:space="preserve">both </w:t>
      </w:r>
      <w:r>
        <w:rPr>
          <w:lang w:val="en-GB"/>
        </w:rPr>
        <w:t>together</w:t>
      </w:r>
      <w:r w:rsidR="00814CA5">
        <w:rPr>
          <w:lang w:val="en-GB"/>
        </w:rPr>
        <w:t xml:space="preserve"> in project design and methods</w:t>
      </w:r>
      <w:r w:rsidRPr="00E02710">
        <w:rPr>
          <w:lang w:val="en-GB"/>
        </w:rPr>
        <w:t>.</w:t>
      </w:r>
      <w:r>
        <w:rPr>
          <w:lang w:val="en-GB"/>
        </w:rPr>
        <w:t xml:space="preserve"> </w:t>
      </w:r>
      <w:r w:rsidRPr="00E02710">
        <w:rPr>
          <w:lang w:val="en-GB"/>
        </w:rPr>
        <w:t xml:space="preserve">GIH is looking forward to sharing all the innovations and developments these projects will bring with other UQ researchers. </w:t>
      </w:r>
    </w:p>
    <w:p w14:paraId="5ED7E932" w14:textId="39F534FF" w:rsidR="0040412D" w:rsidRDefault="0040412D" w:rsidP="0040412D">
      <w:pPr>
        <w:pStyle w:val="BodyText"/>
        <w:rPr>
          <w:lang w:val="en-GB"/>
        </w:rPr>
      </w:pPr>
      <w:r>
        <w:rPr>
          <w:lang w:val="en-GB"/>
        </w:rPr>
        <w:t>Individual project information is</w:t>
      </w:r>
      <w:r w:rsidR="00BE0E75">
        <w:rPr>
          <w:lang w:val="en-GB"/>
        </w:rPr>
        <w:t xml:space="preserve"> </w:t>
      </w:r>
      <w:r>
        <w:rPr>
          <w:lang w:val="en-GB"/>
        </w:rPr>
        <w:t xml:space="preserve">available on our GIH website (gih.uq.edu.au). For updates on project outcomes, subscribe to the GIH newsletter and/or follow the @GIH_UQ twitter feed. Below is a list of </w:t>
      </w:r>
      <w:r w:rsidR="00646167">
        <w:rPr>
          <w:lang w:val="en-GB"/>
        </w:rPr>
        <w:t xml:space="preserve">previous </w:t>
      </w:r>
      <w:r>
        <w:rPr>
          <w:lang w:val="en-GB"/>
        </w:rPr>
        <w:t>GIH collaborative projects.</w:t>
      </w:r>
    </w:p>
    <w:p w14:paraId="55C174DD" w14:textId="77777777" w:rsidR="00ED4408" w:rsidRDefault="00ED4408" w:rsidP="00ED4408">
      <w:pPr>
        <w:pStyle w:val="BodyText"/>
        <w:spacing w:line="240" w:lineRule="auto"/>
        <w:rPr>
          <w:rFonts w:ascii="Gotham Medium" w:hAnsi="Gotham Medium" w:cstheme="minorHAnsi"/>
          <w:color w:val="4F2379"/>
          <w:sz w:val="22"/>
          <w:lang w:val="en-GB"/>
        </w:rPr>
      </w:pPr>
    </w:p>
    <w:p w14:paraId="27F424D8" w14:textId="1E3BB430" w:rsidR="00B0701C" w:rsidRPr="00FD60C4" w:rsidRDefault="00ED4408" w:rsidP="00B0701C">
      <w:pPr>
        <w:pStyle w:val="BodyText"/>
        <w:spacing w:line="240" w:lineRule="auto"/>
        <w:rPr>
          <w:rFonts w:asciiTheme="majorHAnsi" w:hAnsiTheme="majorHAnsi" w:cstheme="majorHAnsi"/>
          <w:color w:val="4F2379"/>
          <w:sz w:val="22"/>
          <w:lang w:val="en-GB"/>
        </w:rPr>
      </w:pPr>
      <w:r w:rsidRPr="00FD60C4">
        <w:rPr>
          <w:rFonts w:asciiTheme="majorHAnsi" w:hAnsiTheme="majorHAnsi" w:cstheme="majorHAnsi"/>
          <w:color w:val="4F2379"/>
          <w:sz w:val="22"/>
          <w:lang w:val="en-GB"/>
        </w:rPr>
        <w:t>2022 GIH Collaborative projects</w:t>
      </w:r>
    </w:p>
    <w:p w14:paraId="1EBAB26B" w14:textId="207F9B6E" w:rsidR="00ED4408" w:rsidRPr="008F5CCA" w:rsidRDefault="00953A0A" w:rsidP="00ED4408">
      <w:pPr>
        <w:pStyle w:val="BodyText"/>
        <w:rPr>
          <w:rFonts w:cstheme="minorHAnsi"/>
          <w:b/>
          <w:bCs/>
          <w:szCs w:val="20"/>
          <w:lang w:val="en-GB"/>
        </w:rPr>
      </w:pPr>
      <w:r w:rsidRPr="00953A0A">
        <w:rPr>
          <w:rFonts w:cstheme="minorHAnsi"/>
          <w:b/>
          <w:bCs/>
          <w:szCs w:val="20"/>
          <w:lang w:val="en-GB"/>
        </w:rPr>
        <w:t>Using nanopore sequenc</w:t>
      </w:r>
      <w:r>
        <w:rPr>
          <w:rFonts w:cstheme="minorHAnsi"/>
          <w:b/>
          <w:bCs/>
          <w:szCs w:val="20"/>
          <w:lang w:val="en-GB"/>
        </w:rPr>
        <w:t>ing</w:t>
      </w:r>
      <w:r w:rsidRPr="00953A0A">
        <w:rPr>
          <w:rFonts w:cstheme="minorHAnsi"/>
          <w:b/>
          <w:bCs/>
          <w:szCs w:val="20"/>
          <w:lang w:val="en-GB"/>
        </w:rPr>
        <w:t xml:space="preserve"> to test mRNA vaccine quality</w:t>
      </w:r>
    </w:p>
    <w:p w14:paraId="7B5B7A46" w14:textId="49E5A4A4" w:rsidR="00ED4408" w:rsidRDefault="00953A0A" w:rsidP="00953A0A">
      <w:pPr>
        <w:pStyle w:val="BodyText"/>
        <w:rPr>
          <w:rFonts w:cstheme="minorHAnsi"/>
          <w:szCs w:val="20"/>
          <w:lang w:val="en-GB"/>
        </w:rPr>
      </w:pPr>
      <w:r w:rsidRPr="00953A0A">
        <w:rPr>
          <w:rFonts w:cstheme="minorHAnsi"/>
          <w:szCs w:val="20"/>
          <w:lang w:val="en-GB"/>
        </w:rPr>
        <w:t>Dr Helen Gunter, A/Prof Timothy Mercer, Senel Idrisoglu, Dr Romain Tropee</w:t>
      </w:r>
      <w:r>
        <w:rPr>
          <w:rFonts w:cstheme="minorHAnsi"/>
          <w:szCs w:val="20"/>
          <w:lang w:val="en-GB"/>
        </w:rPr>
        <w:t xml:space="preserve"> </w:t>
      </w:r>
      <w:r w:rsidRPr="00953A0A">
        <w:rPr>
          <w:rFonts w:cstheme="minorHAnsi"/>
          <w:szCs w:val="20"/>
          <w:lang w:val="en-GB"/>
        </w:rPr>
        <w:t>and Prof Trent Munro</w:t>
      </w:r>
      <w:r w:rsidR="00ED4408" w:rsidRPr="008F5CCA">
        <w:rPr>
          <w:rFonts w:cstheme="minorHAnsi"/>
          <w:szCs w:val="20"/>
          <w:lang w:val="en-GB"/>
        </w:rPr>
        <w:t xml:space="preserve">. </w:t>
      </w:r>
      <w:r w:rsidRPr="00953A0A">
        <w:rPr>
          <w:rFonts w:cstheme="minorHAnsi"/>
          <w:szCs w:val="20"/>
          <w:lang w:val="en-GB"/>
        </w:rPr>
        <w:t>Australian Institute for Bioengineering and Nanotechnology (AIBN)</w:t>
      </w:r>
      <w:r>
        <w:rPr>
          <w:rFonts w:cstheme="minorHAnsi"/>
          <w:szCs w:val="20"/>
          <w:lang w:val="en-GB"/>
        </w:rPr>
        <w:t xml:space="preserve"> </w:t>
      </w:r>
      <w:r w:rsidRPr="00953A0A">
        <w:rPr>
          <w:rFonts w:cstheme="minorHAnsi"/>
          <w:szCs w:val="20"/>
          <w:lang w:val="en-GB"/>
        </w:rPr>
        <w:t>and BASE (RNA/DNA Biomanufacture) facility.</w:t>
      </w:r>
    </w:p>
    <w:p w14:paraId="7F6ED39A" w14:textId="77777777" w:rsidR="00ED4408" w:rsidRPr="008F5CCA" w:rsidRDefault="00ED4408" w:rsidP="00ED4408">
      <w:pPr>
        <w:pStyle w:val="BodyText"/>
        <w:rPr>
          <w:rFonts w:cstheme="minorHAnsi"/>
          <w:szCs w:val="20"/>
          <w:lang w:val="en-GB"/>
        </w:rPr>
      </w:pPr>
    </w:p>
    <w:p w14:paraId="741AEFCE" w14:textId="56071DEE" w:rsidR="0016054E" w:rsidRDefault="0016054E" w:rsidP="0016054E">
      <w:pPr>
        <w:pStyle w:val="BodyText"/>
        <w:rPr>
          <w:rFonts w:cstheme="minorHAnsi"/>
          <w:b/>
          <w:bCs/>
          <w:szCs w:val="20"/>
          <w:lang w:val="en-GB"/>
        </w:rPr>
      </w:pPr>
      <w:r w:rsidRPr="0016054E">
        <w:rPr>
          <w:rFonts w:cstheme="minorHAnsi"/>
          <w:b/>
          <w:bCs/>
          <w:szCs w:val="20"/>
          <w:lang w:val="en-GB"/>
        </w:rPr>
        <w:t>Enrichment and analysis of functional small interfering RNAs</w:t>
      </w:r>
      <w:r>
        <w:rPr>
          <w:rFonts w:cstheme="minorHAnsi"/>
          <w:b/>
          <w:bCs/>
          <w:szCs w:val="20"/>
          <w:lang w:val="en-GB"/>
        </w:rPr>
        <w:t xml:space="preserve"> </w:t>
      </w:r>
      <w:r w:rsidRPr="0016054E">
        <w:rPr>
          <w:rFonts w:cstheme="minorHAnsi"/>
          <w:b/>
          <w:bCs/>
          <w:szCs w:val="20"/>
          <w:lang w:val="en-GB"/>
        </w:rPr>
        <w:t>for optimised topical RNAi</w:t>
      </w:r>
      <w:r>
        <w:rPr>
          <w:rFonts w:cstheme="minorHAnsi"/>
          <w:b/>
          <w:bCs/>
          <w:szCs w:val="20"/>
          <w:lang w:val="en-GB"/>
        </w:rPr>
        <w:t xml:space="preserve"> </w:t>
      </w:r>
      <w:r w:rsidRPr="0016054E">
        <w:rPr>
          <w:rFonts w:cstheme="minorHAnsi"/>
          <w:b/>
          <w:bCs/>
          <w:szCs w:val="20"/>
          <w:lang w:val="en-GB"/>
        </w:rPr>
        <w:t>applications</w:t>
      </w:r>
    </w:p>
    <w:p w14:paraId="1B92195A" w14:textId="24A43710" w:rsidR="00ED4408" w:rsidRPr="00EC4E6E" w:rsidRDefault="00EC4E6E" w:rsidP="00EC4E6E">
      <w:pPr>
        <w:pStyle w:val="BodyText"/>
        <w:rPr>
          <w:rFonts w:cstheme="minorHAnsi"/>
          <w:szCs w:val="20"/>
          <w:lang w:val="en-GB"/>
        </w:rPr>
      </w:pPr>
      <w:r w:rsidRPr="00EC4E6E">
        <w:rPr>
          <w:rFonts w:cstheme="minorHAnsi"/>
          <w:szCs w:val="20"/>
          <w:lang w:val="en-GB"/>
        </w:rPr>
        <w:t>Dr Donald Gardiner, Dr Chris Brosnan and Mr Stephen Fletcher.</w:t>
      </w:r>
      <w:r w:rsidR="00ED4408" w:rsidRPr="008F5CCA">
        <w:rPr>
          <w:rFonts w:cstheme="minorHAnsi"/>
          <w:szCs w:val="20"/>
          <w:lang w:val="en-GB"/>
        </w:rPr>
        <w:t xml:space="preserve"> </w:t>
      </w:r>
      <w:r w:rsidRPr="00EC4E6E">
        <w:rPr>
          <w:rFonts w:cstheme="minorHAnsi"/>
          <w:szCs w:val="20"/>
          <w:lang w:val="en-GB"/>
        </w:rPr>
        <w:t>ARC Hub for Sustainable Crop Protection, Centre for Horticultural Science, Queensland</w:t>
      </w:r>
      <w:r>
        <w:rPr>
          <w:rFonts w:cstheme="minorHAnsi"/>
          <w:szCs w:val="20"/>
          <w:lang w:val="en-GB"/>
        </w:rPr>
        <w:t xml:space="preserve"> </w:t>
      </w:r>
      <w:r w:rsidRPr="00EC4E6E">
        <w:rPr>
          <w:rFonts w:cstheme="minorHAnsi"/>
          <w:szCs w:val="20"/>
          <w:lang w:val="en-GB"/>
        </w:rPr>
        <w:t>Alliance for Agriculture and Food Innovation (QAAFI).</w:t>
      </w:r>
    </w:p>
    <w:p w14:paraId="4EE35462" w14:textId="77777777" w:rsidR="00ED4408" w:rsidRPr="008F5CCA" w:rsidRDefault="00ED4408" w:rsidP="00ED4408">
      <w:pPr>
        <w:pStyle w:val="BodyText"/>
        <w:rPr>
          <w:rFonts w:cstheme="minorHAnsi"/>
          <w:szCs w:val="20"/>
          <w:lang w:val="en-GB"/>
        </w:rPr>
      </w:pPr>
    </w:p>
    <w:p w14:paraId="2CB1CF06" w14:textId="2B26DF45" w:rsidR="00EC4E6E" w:rsidRPr="00EC4E6E" w:rsidRDefault="00EC4E6E" w:rsidP="00EC4E6E">
      <w:pPr>
        <w:pStyle w:val="BodyText"/>
        <w:rPr>
          <w:rFonts w:cstheme="minorHAnsi"/>
          <w:b/>
          <w:bCs/>
          <w:szCs w:val="20"/>
          <w:lang w:val="en-GB"/>
        </w:rPr>
      </w:pPr>
      <w:r w:rsidRPr="00EC4E6E">
        <w:rPr>
          <w:rFonts w:cstheme="minorHAnsi"/>
          <w:b/>
          <w:bCs/>
          <w:szCs w:val="20"/>
          <w:lang w:val="en-GB"/>
        </w:rPr>
        <w:t>Decoding temporal control of cell differentiation by division-based single-cell</w:t>
      </w:r>
      <w:r>
        <w:rPr>
          <w:rFonts w:cstheme="minorHAnsi"/>
          <w:b/>
          <w:bCs/>
          <w:szCs w:val="20"/>
          <w:lang w:val="en-GB"/>
        </w:rPr>
        <w:t xml:space="preserve"> </w:t>
      </w:r>
      <w:r w:rsidRPr="00EC4E6E">
        <w:rPr>
          <w:rFonts w:cstheme="minorHAnsi"/>
          <w:b/>
          <w:bCs/>
          <w:szCs w:val="20"/>
          <w:lang w:val="en-GB"/>
        </w:rPr>
        <w:t>sequencing</w:t>
      </w:r>
    </w:p>
    <w:p w14:paraId="7A015039" w14:textId="55ADB013" w:rsidR="00ED4408" w:rsidRPr="008F5CCA" w:rsidRDefault="00EC4E6E" w:rsidP="00EC4E6E">
      <w:pPr>
        <w:pStyle w:val="BodyText"/>
        <w:rPr>
          <w:rFonts w:cstheme="minorHAnsi"/>
          <w:szCs w:val="20"/>
          <w:lang w:val="en-GB"/>
        </w:rPr>
      </w:pPr>
      <w:r w:rsidRPr="00EC4E6E">
        <w:rPr>
          <w:rFonts w:cstheme="minorHAnsi"/>
          <w:szCs w:val="20"/>
          <w:lang w:val="en-GB"/>
        </w:rPr>
        <w:t>Dr Mehrdad Pazhouhandeh and Prof Di Yu.</w:t>
      </w:r>
      <w:r w:rsidR="00ED4408" w:rsidRPr="00EC4E6E">
        <w:rPr>
          <w:rFonts w:cstheme="minorHAnsi"/>
          <w:szCs w:val="20"/>
          <w:lang w:val="en-GB"/>
        </w:rPr>
        <w:t xml:space="preserve"> </w:t>
      </w:r>
      <w:r w:rsidRPr="00EC4E6E">
        <w:rPr>
          <w:rFonts w:cstheme="minorHAnsi"/>
          <w:szCs w:val="20"/>
          <w:lang w:val="en-GB"/>
        </w:rPr>
        <w:t>The University of Queensland Diamantina Institute, Faculty of Medicine.</w:t>
      </w:r>
    </w:p>
    <w:p w14:paraId="1F6F8EA0" w14:textId="77777777" w:rsidR="00ED4408" w:rsidRPr="008F5CCA" w:rsidRDefault="00ED4408" w:rsidP="00ED4408">
      <w:pPr>
        <w:pStyle w:val="BodyText"/>
        <w:rPr>
          <w:rFonts w:cstheme="minorHAnsi"/>
          <w:szCs w:val="20"/>
          <w:lang w:val="en-GB"/>
        </w:rPr>
      </w:pPr>
    </w:p>
    <w:p w14:paraId="29A0F9D1" w14:textId="4159BFFB" w:rsidR="00B0701C" w:rsidRDefault="00B0701C" w:rsidP="00B0701C">
      <w:pPr>
        <w:pStyle w:val="BodyText"/>
        <w:rPr>
          <w:rFonts w:cstheme="minorHAnsi"/>
          <w:b/>
          <w:bCs/>
          <w:szCs w:val="20"/>
          <w:lang w:val="en-GB"/>
        </w:rPr>
      </w:pPr>
      <w:r w:rsidRPr="00B0701C">
        <w:rPr>
          <w:rFonts w:cstheme="minorHAnsi"/>
          <w:b/>
          <w:bCs/>
          <w:szCs w:val="20"/>
          <w:lang w:val="en-GB"/>
        </w:rPr>
        <w:t>Cleared for recombination – identification and exploitation</w:t>
      </w:r>
      <w:r>
        <w:rPr>
          <w:rFonts w:cstheme="minorHAnsi"/>
          <w:b/>
          <w:bCs/>
          <w:szCs w:val="20"/>
          <w:lang w:val="en-GB"/>
        </w:rPr>
        <w:t xml:space="preserve"> </w:t>
      </w:r>
      <w:r w:rsidRPr="00B0701C">
        <w:rPr>
          <w:rFonts w:cstheme="minorHAnsi"/>
          <w:b/>
          <w:bCs/>
          <w:szCs w:val="20"/>
          <w:lang w:val="en-GB"/>
        </w:rPr>
        <w:t>of genome landing pads for cattle</w:t>
      </w:r>
    </w:p>
    <w:p w14:paraId="5FF9E554" w14:textId="680F61EF" w:rsidR="00ED4408" w:rsidRDefault="00B0701C" w:rsidP="00B0701C">
      <w:pPr>
        <w:pStyle w:val="BodyText"/>
        <w:rPr>
          <w:rFonts w:cstheme="minorHAnsi"/>
          <w:szCs w:val="20"/>
          <w:lang w:val="en-GB"/>
        </w:rPr>
      </w:pPr>
      <w:r w:rsidRPr="00B0701C">
        <w:rPr>
          <w:rFonts w:cstheme="minorHAnsi"/>
          <w:szCs w:val="20"/>
          <w:lang w:val="en-GB"/>
        </w:rPr>
        <w:lastRenderedPageBreak/>
        <w:t>Prof Tim Mahony, Dr Sarah Withey, Ms Tatiana Briody, Dr Elizabeth Ross,</w:t>
      </w:r>
      <w:r>
        <w:rPr>
          <w:rFonts w:cstheme="minorHAnsi"/>
          <w:szCs w:val="20"/>
          <w:lang w:val="en-GB"/>
        </w:rPr>
        <w:t xml:space="preserve"> </w:t>
      </w:r>
      <w:r w:rsidRPr="00B0701C">
        <w:rPr>
          <w:rFonts w:cstheme="minorHAnsi"/>
          <w:szCs w:val="20"/>
          <w:lang w:val="en-GB"/>
        </w:rPr>
        <w:t>Prof Ben Hayes, Dr Karishma Mody.</w:t>
      </w:r>
      <w:r w:rsidR="00ED4408" w:rsidRPr="008F5CCA">
        <w:rPr>
          <w:rFonts w:cstheme="minorHAnsi"/>
          <w:szCs w:val="20"/>
          <w:lang w:val="en-GB"/>
        </w:rPr>
        <w:t xml:space="preserve"> </w:t>
      </w:r>
      <w:r w:rsidRPr="00B0701C">
        <w:rPr>
          <w:rFonts w:cstheme="minorHAnsi"/>
          <w:szCs w:val="20"/>
          <w:lang w:val="en-GB"/>
        </w:rPr>
        <w:t>Centre for Animal Science (QAAFI), Centre for Horticultural Science, QAAFI, Australian</w:t>
      </w:r>
      <w:r>
        <w:rPr>
          <w:rFonts w:cstheme="minorHAnsi"/>
          <w:szCs w:val="20"/>
          <w:lang w:val="en-GB"/>
        </w:rPr>
        <w:t xml:space="preserve"> </w:t>
      </w:r>
      <w:r w:rsidRPr="00B0701C">
        <w:rPr>
          <w:rFonts w:cstheme="minorHAnsi"/>
          <w:szCs w:val="20"/>
          <w:lang w:val="en-GB"/>
        </w:rPr>
        <w:t>Institute for Bioengineering and Nanotechnology (AIBN).</w:t>
      </w:r>
    </w:p>
    <w:p w14:paraId="312CFC45" w14:textId="77777777" w:rsidR="00B0701C" w:rsidRPr="008F5CCA" w:rsidRDefault="00B0701C" w:rsidP="00B0701C">
      <w:pPr>
        <w:pStyle w:val="BodyText"/>
        <w:rPr>
          <w:rFonts w:cstheme="minorHAnsi"/>
          <w:szCs w:val="20"/>
          <w:lang w:val="en-GB"/>
        </w:rPr>
      </w:pPr>
    </w:p>
    <w:p w14:paraId="55299BF9" w14:textId="6F12DA9E" w:rsidR="00B0701C" w:rsidRDefault="00B0701C" w:rsidP="00B0701C">
      <w:pPr>
        <w:pStyle w:val="BodyText"/>
        <w:rPr>
          <w:rFonts w:cstheme="minorHAnsi"/>
          <w:b/>
          <w:bCs/>
          <w:szCs w:val="20"/>
          <w:lang w:val="en-GB"/>
        </w:rPr>
      </w:pPr>
      <w:r w:rsidRPr="00B0701C">
        <w:rPr>
          <w:rFonts w:cstheme="minorHAnsi"/>
          <w:b/>
          <w:bCs/>
          <w:szCs w:val="20"/>
          <w:lang w:val="en-GB"/>
        </w:rPr>
        <w:t>Development of a field-friendly adaptive sequencing pipeline to</w:t>
      </w:r>
      <w:r>
        <w:rPr>
          <w:rFonts w:cstheme="minorHAnsi"/>
          <w:b/>
          <w:bCs/>
          <w:szCs w:val="20"/>
          <w:lang w:val="en-GB"/>
        </w:rPr>
        <w:t xml:space="preserve"> </w:t>
      </w:r>
      <w:r w:rsidRPr="00B0701C">
        <w:rPr>
          <w:rFonts w:cstheme="minorHAnsi"/>
          <w:b/>
          <w:bCs/>
          <w:szCs w:val="20"/>
          <w:lang w:val="en-GB"/>
        </w:rPr>
        <w:t>increase sensitivity of metagenomic sequencing of low biomass samples</w:t>
      </w:r>
    </w:p>
    <w:p w14:paraId="722EE456" w14:textId="39D78C9F" w:rsidR="00ED4408" w:rsidRPr="00B0701C" w:rsidRDefault="00B0701C" w:rsidP="00B0701C">
      <w:pPr>
        <w:pStyle w:val="BodyText"/>
        <w:rPr>
          <w:rFonts w:cstheme="minorHAnsi"/>
          <w:szCs w:val="20"/>
          <w:lang w:val="en-GB"/>
        </w:rPr>
      </w:pPr>
      <w:r w:rsidRPr="00B0701C">
        <w:rPr>
          <w:rFonts w:cstheme="minorHAnsi"/>
          <w:szCs w:val="20"/>
          <w:lang w:val="en-GB"/>
        </w:rPr>
        <w:t>Dr. Seweryn Bialasiewicz and Dr. Julian Zaugg.</w:t>
      </w:r>
      <w:r>
        <w:rPr>
          <w:rFonts w:cstheme="minorHAnsi"/>
          <w:szCs w:val="20"/>
          <w:lang w:val="en-GB"/>
        </w:rPr>
        <w:t xml:space="preserve"> </w:t>
      </w:r>
      <w:r w:rsidRPr="00B0701C">
        <w:rPr>
          <w:rFonts w:cstheme="minorHAnsi"/>
          <w:szCs w:val="20"/>
          <w:lang w:val="en-GB"/>
        </w:rPr>
        <w:t>School of Chemistry and Molecular Biosciences (SCMB), Faculty of Science,</w:t>
      </w:r>
      <w:r>
        <w:rPr>
          <w:rFonts w:cstheme="minorHAnsi"/>
          <w:szCs w:val="20"/>
          <w:lang w:val="en-GB"/>
        </w:rPr>
        <w:t xml:space="preserve"> </w:t>
      </w:r>
      <w:r w:rsidRPr="00B0701C">
        <w:rPr>
          <w:rFonts w:cstheme="minorHAnsi"/>
          <w:szCs w:val="20"/>
          <w:lang w:val="en-GB"/>
        </w:rPr>
        <w:t>and the Australian Centre for Ecogenomics (ACE).</w:t>
      </w:r>
    </w:p>
    <w:p w14:paraId="0BFA9BF3" w14:textId="77777777" w:rsidR="00ED4408" w:rsidRPr="008F5CCA" w:rsidRDefault="00ED4408" w:rsidP="00ED4408">
      <w:pPr>
        <w:pStyle w:val="BodyText"/>
        <w:rPr>
          <w:rFonts w:cstheme="minorHAnsi"/>
          <w:szCs w:val="20"/>
          <w:lang w:val="en-GB"/>
        </w:rPr>
      </w:pPr>
    </w:p>
    <w:p w14:paraId="1C9CE1C0" w14:textId="7EC1E248" w:rsidR="00B0701C" w:rsidRDefault="00B0701C" w:rsidP="00B0701C">
      <w:pPr>
        <w:pStyle w:val="BodyText"/>
        <w:rPr>
          <w:rFonts w:cstheme="minorHAnsi"/>
          <w:b/>
          <w:bCs/>
          <w:szCs w:val="20"/>
          <w:lang w:val="en-GB"/>
        </w:rPr>
      </w:pPr>
      <w:r w:rsidRPr="00B0701C">
        <w:rPr>
          <w:rFonts w:cstheme="minorHAnsi"/>
          <w:b/>
          <w:bCs/>
          <w:szCs w:val="20"/>
          <w:lang w:val="en-GB"/>
        </w:rPr>
        <w:t>Multi-contact Pore-C: Telomere-to-telomere genome assembly</w:t>
      </w:r>
      <w:r>
        <w:rPr>
          <w:rFonts w:cstheme="minorHAnsi"/>
          <w:b/>
          <w:bCs/>
          <w:szCs w:val="20"/>
          <w:lang w:val="en-GB"/>
        </w:rPr>
        <w:t xml:space="preserve"> </w:t>
      </w:r>
      <w:r w:rsidRPr="00B0701C">
        <w:rPr>
          <w:rFonts w:cstheme="minorHAnsi"/>
          <w:b/>
          <w:bCs/>
          <w:szCs w:val="20"/>
          <w:lang w:val="en-GB"/>
        </w:rPr>
        <w:t>using ultra-long reads and Pore-C scaffolding</w:t>
      </w:r>
    </w:p>
    <w:p w14:paraId="5839F182" w14:textId="0E547678" w:rsidR="00ED4408" w:rsidRPr="00B0701C" w:rsidRDefault="00B0701C" w:rsidP="00B0701C">
      <w:pPr>
        <w:pStyle w:val="BodyText"/>
        <w:rPr>
          <w:rFonts w:cstheme="minorHAnsi"/>
          <w:szCs w:val="20"/>
          <w:lang w:val="en-GB"/>
        </w:rPr>
      </w:pPr>
      <w:r w:rsidRPr="00B0701C">
        <w:rPr>
          <w:rFonts w:cstheme="minorHAnsi"/>
          <w:szCs w:val="20"/>
          <w:lang w:val="en-GB"/>
        </w:rPr>
        <w:t>Dr Hyungtaek Jung, Dr Loan Nguyen, Dr Elizabeth Ross, Prof Ben Hayes, A/Prof Craig</w:t>
      </w:r>
      <w:r>
        <w:rPr>
          <w:rFonts w:cstheme="minorHAnsi"/>
          <w:szCs w:val="20"/>
          <w:lang w:val="en-GB"/>
        </w:rPr>
        <w:t xml:space="preserve"> </w:t>
      </w:r>
      <w:r w:rsidRPr="00B0701C">
        <w:rPr>
          <w:rFonts w:cstheme="minorHAnsi"/>
          <w:szCs w:val="20"/>
          <w:lang w:val="en-GB"/>
        </w:rPr>
        <w:t>Hardner, Dr Bradley Campbell and the Oxford Nanopore Technologies Team.</w:t>
      </w:r>
      <w:r w:rsidR="00ED4408" w:rsidRPr="008F5CCA">
        <w:rPr>
          <w:rFonts w:cstheme="minorHAnsi"/>
          <w:szCs w:val="20"/>
          <w:lang w:val="en-GB"/>
        </w:rPr>
        <w:t xml:space="preserve"> </w:t>
      </w:r>
      <w:r w:rsidRPr="00B0701C">
        <w:rPr>
          <w:rFonts w:cstheme="minorHAnsi"/>
          <w:szCs w:val="20"/>
          <w:lang w:val="en-GB"/>
        </w:rPr>
        <w:t>Centre for Animal Science, QAAFI, Centre for Horticultural Science, QAAFI, Centre for Crop</w:t>
      </w:r>
      <w:r>
        <w:rPr>
          <w:rFonts w:cstheme="minorHAnsi"/>
          <w:szCs w:val="20"/>
          <w:lang w:val="en-GB"/>
        </w:rPr>
        <w:t xml:space="preserve"> </w:t>
      </w:r>
      <w:r w:rsidRPr="00B0701C">
        <w:rPr>
          <w:rFonts w:cstheme="minorHAnsi"/>
          <w:szCs w:val="20"/>
          <w:lang w:val="en-GB"/>
        </w:rPr>
        <w:t>Science, QAAFI and Oxford Nanopore Technologies.</w:t>
      </w:r>
    </w:p>
    <w:p w14:paraId="38BB0C35" w14:textId="77777777" w:rsidR="00ED4408" w:rsidRDefault="00ED4408" w:rsidP="00E02710">
      <w:pPr>
        <w:pStyle w:val="BodyText"/>
        <w:rPr>
          <w:lang w:val="en-GB"/>
        </w:rPr>
      </w:pPr>
    </w:p>
    <w:p w14:paraId="282760E5" w14:textId="5EA74B23" w:rsidR="008F5CCA" w:rsidRPr="000452C2" w:rsidRDefault="008F5CCA" w:rsidP="008F5CCA">
      <w:pPr>
        <w:pStyle w:val="BodyText"/>
        <w:spacing w:line="240" w:lineRule="auto"/>
        <w:rPr>
          <w:rFonts w:ascii="Gotham Medium" w:hAnsi="Gotham Medium" w:cstheme="minorHAnsi"/>
          <w:color w:val="4F2379"/>
          <w:sz w:val="22"/>
          <w:lang w:val="en-GB"/>
        </w:rPr>
      </w:pPr>
      <w:r w:rsidRPr="000452C2">
        <w:rPr>
          <w:rFonts w:ascii="Gotham Medium" w:hAnsi="Gotham Medium" w:cstheme="minorHAnsi"/>
          <w:color w:val="4F2379"/>
          <w:sz w:val="22"/>
          <w:lang w:val="en-GB"/>
        </w:rPr>
        <w:t>2021 GIH Collaborative projects</w:t>
      </w:r>
    </w:p>
    <w:p w14:paraId="3A57D45D" w14:textId="344CBB80" w:rsidR="008F5CCA" w:rsidRPr="008F5CCA" w:rsidRDefault="008F5CCA" w:rsidP="008F5CCA">
      <w:pPr>
        <w:pStyle w:val="BodyText"/>
        <w:rPr>
          <w:rFonts w:cstheme="minorHAnsi"/>
          <w:b/>
          <w:bCs/>
          <w:szCs w:val="20"/>
          <w:lang w:val="en-GB"/>
        </w:rPr>
      </w:pPr>
      <w:r w:rsidRPr="008F5CCA">
        <w:rPr>
          <w:rFonts w:cstheme="minorHAnsi"/>
          <w:b/>
          <w:bCs/>
          <w:szCs w:val="20"/>
          <w:lang w:val="en-GB"/>
        </w:rPr>
        <w:t xml:space="preserve">Enabling population scale epigenomics for crop improvement </w:t>
      </w:r>
    </w:p>
    <w:p w14:paraId="567AB426" w14:textId="52FA730D" w:rsidR="008F5CCA" w:rsidRDefault="008F5CCA" w:rsidP="008F5CCA">
      <w:pPr>
        <w:pStyle w:val="BodyText"/>
        <w:rPr>
          <w:rFonts w:cstheme="minorHAnsi"/>
          <w:szCs w:val="20"/>
          <w:lang w:val="en-GB"/>
        </w:rPr>
      </w:pPr>
      <w:r w:rsidRPr="008F5CCA">
        <w:rPr>
          <w:rFonts w:cstheme="minorHAnsi"/>
          <w:szCs w:val="20"/>
          <w:lang w:val="en-GB"/>
        </w:rPr>
        <w:t xml:space="preserve">Peter Crisp, Kai Voss-Fels, Lee Hickey. School of Agriculture and Food Sciences (SAFS) and Queensland Alliance for Agriculture and Food Innovation (QAAFI). </w:t>
      </w:r>
    </w:p>
    <w:p w14:paraId="6D1CA4CB" w14:textId="77777777" w:rsidR="008F5CCA" w:rsidRPr="008F5CCA" w:rsidRDefault="008F5CCA" w:rsidP="008F5CCA">
      <w:pPr>
        <w:pStyle w:val="BodyText"/>
        <w:rPr>
          <w:rFonts w:cstheme="minorHAnsi"/>
          <w:szCs w:val="20"/>
          <w:lang w:val="en-GB"/>
        </w:rPr>
      </w:pPr>
    </w:p>
    <w:p w14:paraId="3C5DF0C5" w14:textId="504CFB2D" w:rsidR="008F5CCA" w:rsidRPr="008F5CCA" w:rsidRDefault="008F5CCA" w:rsidP="008F5CCA">
      <w:pPr>
        <w:pStyle w:val="BodyText"/>
        <w:rPr>
          <w:rFonts w:cstheme="minorHAnsi"/>
          <w:b/>
          <w:bCs/>
          <w:szCs w:val="20"/>
          <w:lang w:val="en-GB"/>
        </w:rPr>
      </w:pPr>
      <w:r w:rsidRPr="008F5CCA">
        <w:rPr>
          <w:rFonts w:cstheme="minorHAnsi"/>
          <w:b/>
          <w:bCs/>
          <w:szCs w:val="20"/>
          <w:lang w:val="en-GB"/>
        </w:rPr>
        <w:t xml:space="preserve">Deciphering the epitranscriptome machinery using direct native RNA sequencing </w:t>
      </w:r>
    </w:p>
    <w:p w14:paraId="7AEA7CAC" w14:textId="7EEAEF3C" w:rsidR="008F5CCA" w:rsidRDefault="008F5CCA" w:rsidP="008F5CCA">
      <w:pPr>
        <w:pStyle w:val="BodyText"/>
        <w:rPr>
          <w:rFonts w:cstheme="minorHAnsi"/>
          <w:szCs w:val="20"/>
          <w:lang w:val="en-GB"/>
        </w:rPr>
      </w:pPr>
      <w:r w:rsidRPr="008F5CCA">
        <w:rPr>
          <w:rFonts w:cstheme="minorHAnsi"/>
          <w:szCs w:val="20"/>
          <w:lang w:val="en-GB"/>
        </w:rPr>
        <w:t xml:space="preserve">Cheong Xin Chan, Katherine Dougan, Mikael Bodén, Peter Erskine, Antony van der Ent. Australian Centre for Ecogenomics (ACE), School of Chemistry and Molecular Biology (SCMB), Sustainable Minerals Institute (SMI). </w:t>
      </w:r>
    </w:p>
    <w:p w14:paraId="15E8DBCB" w14:textId="77777777" w:rsidR="008F5CCA" w:rsidRPr="008F5CCA" w:rsidRDefault="008F5CCA" w:rsidP="008F5CCA">
      <w:pPr>
        <w:pStyle w:val="BodyText"/>
        <w:rPr>
          <w:rFonts w:cstheme="minorHAnsi"/>
          <w:szCs w:val="20"/>
          <w:lang w:val="en-GB"/>
        </w:rPr>
      </w:pPr>
    </w:p>
    <w:p w14:paraId="10BDBACA" w14:textId="0D09E96F" w:rsidR="008F5CCA" w:rsidRPr="008F5CCA" w:rsidRDefault="008F5CCA" w:rsidP="008F5CCA">
      <w:pPr>
        <w:pStyle w:val="BodyText"/>
        <w:rPr>
          <w:rFonts w:cstheme="minorHAnsi"/>
          <w:b/>
          <w:bCs/>
          <w:szCs w:val="20"/>
          <w:lang w:val="en-GB"/>
        </w:rPr>
      </w:pPr>
      <w:r w:rsidRPr="008F5CCA">
        <w:rPr>
          <w:rFonts w:cstheme="minorHAnsi"/>
          <w:b/>
          <w:bCs/>
          <w:szCs w:val="20"/>
          <w:lang w:val="en-GB"/>
        </w:rPr>
        <w:t xml:space="preserve">Developing new spatial proteomics capability and extending the applications of spatial transcriptomics to clinical archival tissue samples </w:t>
      </w:r>
    </w:p>
    <w:p w14:paraId="59B384DD" w14:textId="725E7E94" w:rsidR="008F5CCA" w:rsidRPr="008F5CCA" w:rsidRDefault="008F5CCA" w:rsidP="008F5CCA">
      <w:pPr>
        <w:pStyle w:val="BodyText"/>
        <w:rPr>
          <w:rFonts w:cstheme="minorHAnsi"/>
          <w:szCs w:val="20"/>
          <w:lang w:val="en-GB"/>
        </w:rPr>
      </w:pPr>
      <w:r w:rsidRPr="008F5CCA">
        <w:rPr>
          <w:rFonts w:cstheme="minorHAnsi"/>
          <w:szCs w:val="20"/>
          <w:lang w:val="en-GB"/>
        </w:rPr>
        <w:t xml:space="preserve">Quan Nguyen, Mitchell Stark, Kiarash Khosrotehrani, Brett McKinnon. Institute for Molecular Biosciences (IMB) and UQ Diamantina Institute (UQ-DI). </w:t>
      </w:r>
    </w:p>
    <w:p w14:paraId="56FCF5F0" w14:textId="77777777" w:rsidR="008F5CCA" w:rsidRPr="008F5CCA" w:rsidRDefault="008F5CCA" w:rsidP="008F5CCA">
      <w:pPr>
        <w:pStyle w:val="BodyText"/>
        <w:rPr>
          <w:rFonts w:cstheme="minorHAnsi"/>
          <w:szCs w:val="20"/>
          <w:lang w:val="en-GB"/>
        </w:rPr>
      </w:pPr>
    </w:p>
    <w:p w14:paraId="4173E85B" w14:textId="4D749877" w:rsidR="008F5CCA" w:rsidRPr="008F5CCA" w:rsidRDefault="008F5CCA" w:rsidP="008F5CCA">
      <w:pPr>
        <w:pStyle w:val="BodyText"/>
        <w:rPr>
          <w:rFonts w:cstheme="minorHAnsi"/>
          <w:b/>
          <w:bCs/>
          <w:szCs w:val="20"/>
          <w:lang w:val="en-GB"/>
        </w:rPr>
      </w:pPr>
      <w:r w:rsidRPr="008F5CCA">
        <w:rPr>
          <w:rFonts w:cstheme="minorHAnsi"/>
          <w:b/>
          <w:bCs/>
          <w:szCs w:val="20"/>
          <w:lang w:val="en-GB"/>
        </w:rPr>
        <w:t xml:space="preserve">Utilising RNA velocity quantification of single cell transcriptomics to study differential cellular ontogeny in a single stage across different species </w:t>
      </w:r>
    </w:p>
    <w:p w14:paraId="16A5C1AE" w14:textId="27AACDC9" w:rsidR="008F5CCA" w:rsidRDefault="008F5CCA" w:rsidP="008F5CCA">
      <w:pPr>
        <w:pStyle w:val="BodyText"/>
        <w:rPr>
          <w:rFonts w:cstheme="minorHAnsi"/>
          <w:szCs w:val="20"/>
          <w:lang w:val="en-GB"/>
        </w:rPr>
      </w:pPr>
      <w:r w:rsidRPr="008F5CCA">
        <w:rPr>
          <w:rFonts w:cstheme="minorHAnsi"/>
          <w:szCs w:val="20"/>
          <w:lang w:val="en-GB"/>
        </w:rPr>
        <w:t xml:space="preserve">Peter Kozulin, Laura Fenlon, Rodrigo Suarez. Queensland Brain Institute (QBI), School of Biomedical Sciences (SBMS). </w:t>
      </w:r>
    </w:p>
    <w:p w14:paraId="5EA54D84" w14:textId="77777777" w:rsidR="008F5CCA" w:rsidRPr="008F5CCA" w:rsidRDefault="008F5CCA" w:rsidP="008F5CCA">
      <w:pPr>
        <w:pStyle w:val="BodyText"/>
        <w:rPr>
          <w:rFonts w:cstheme="minorHAnsi"/>
          <w:szCs w:val="20"/>
          <w:lang w:val="en-GB"/>
        </w:rPr>
      </w:pPr>
    </w:p>
    <w:p w14:paraId="7003E2C9" w14:textId="03FE4A4A" w:rsidR="008F5CCA" w:rsidRPr="008F5CCA" w:rsidRDefault="008F5CCA" w:rsidP="008F5CCA">
      <w:pPr>
        <w:pStyle w:val="BodyText"/>
        <w:rPr>
          <w:rFonts w:cstheme="minorHAnsi"/>
          <w:b/>
          <w:bCs/>
          <w:szCs w:val="20"/>
          <w:lang w:val="en-GB"/>
        </w:rPr>
      </w:pPr>
      <w:r w:rsidRPr="008F5CCA">
        <w:rPr>
          <w:rFonts w:cstheme="minorHAnsi"/>
          <w:b/>
          <w:bCs/>
          <w:szCs w:val="20"/>
          <w:lang w:val="en-GB"/>
        </w:rPr>
        <w:t xml:space="preserve">Expanding the scope of multimodal single cell sequencing </w:t>
      </w:r>
    </w:p>
    <w:p w14:paraId="60202A29" w14:textId="069BB552" w:rsidR="008F5CCA" w:rsidRDefault="008F5CCA" w:rsidP="008F5CCA">
      <w:pPr>
        <w:pStyle w:val="BodyText"/>
        <w:rPr>
          <w:rFonts w:cstheme="minorHAnsi"/>
          <w:szCs w:val="20"/>
          <w:lang w:val="en-GB"/>
        </w:rPr>
      </w:pPr>
      <w:r w:rsidRPr="008F5CCA">
        <w:rPr>
          <w:rFonts w:cstheme="minorHAnsi"/>
          <w:szCs w:val="20"/>
          <w:lang w:val="en-GB"/>
        </w:rPr>
        <w:t xml:space="preserve">Christian Nefzger. Institute for Molecular Bioscience (IMB). </w:t>
      </w:r>
    </w:p>
    <w:p w14:paraId="1E87C1A4" w14:textId="77777777" w:rsidR="008F5CCA" w:rsidRPr="008F5CCA" w:rsidRDefault="008F5CCA" w:rsidP="008F5CCA">
      <w:pPr>
        <w:pStyle w:val="BodyText"/>
        <w:rPr>
          <w:rFonts w:cstheme="minorHAnsi"/>
          <w:szCs w:val="20"/>
          <w:lang w:val="en-GB"/>
        </w:rPr>
      </w:pPr>
    </w:p>
    <w:p w14:paraId="7F1FBCBC" w14:textId="128B45B7" w:rsidR="008F5CCA" w:rsidRDefault="008F5CCA" w:rsidP="008F5CCA">
      <w:pPr>
        <w:pStyle w:val="BodyText"/>
        <w:rPr>
          <w:rFonts w:cstheme="minorHAnsi"/>
          <w:b/>
          <w:bCs/>
          <w:szCs w:val="20"/>
          <w:lang w:val="en-GB"/>
        </w:rPr>
      </w:pPr>
      <w:r w:rsidRPr="008F5CCA">
        <w:rPr>
          <w:rFonts w:cstheme="minorHAnsi"/>
          <w:b/>
          <w:bCs/>
          <w:szCs w:val="20"/>
          <w:lang w:val="en-GB"/>
        </w:rPr>
        <w:lastRenderedPageBreak/>
        <w:t>Genome-Phaser: End-to-end protocol for fully phasing whole genome variants using haplotagging</w:t>
      </w:r>
    </w:p>
    <w:p w14:paraId="7F987C78" w14:textId="77777777" w:rsidR="008F5CCA" w:rsidRPr="008F5CCA" w:rsidRDefault="008F5CCA" w:rsidP="008F5CCA">
      <w:pPr>
        <w:pStyle w:val="BodyText"/>
        <w:rPr>
          <w:rFonts w:cstheme="minorHAnsi"/>
          <w:szCs w:val="20"/>
          <w:lang w:val="en-GB"/>
        </w:rPr>
      </w:pPr>
      <w:r w:rsidRPr="008F5CCA">
        <w:rPr>
          <w:rFonts w:cstheme="minorHAnsi"/>
          <w:szCs w:val="20"/>
          <w:lang w:val="en-GB"/>
        </w:rPr>
        <w:t xml:space="preserve">Melanie Wilkinson, Elizabeth Ross, Frank Chan, Craig Hardner and Daniel Ortiz-Barrientos. School of Biological Sciences, QAAFI Centre for Horticultural Science, QAAFI Centre for Animal Science. </w:t>
      </w:r>
    </w:p>
    <w:p w14:paraId="1F79DBD2" w14:textId="77777777" w:rsidR="008F5CCA" w:rsidRDefault="008F5CCA" w:rsidP="008F5CCA">
      <w:pPr>
        <w:pStyle w:val="BodyText"/>
        <w:rPr>
          <w:rFonts w:cstheme="minorHAnsi"/>
          <w:szCs w:val="20"/>
          <w:lang w:val="en-GB"/>
        </w:rPr>
      </w:pPr>
    </w:p>
    <w:p w14:paraId="17EBF152" w14:textId="3C3611D8" w:rsidR="008F5CCA" w:rsidRPr="008F5CCA" w:rsidRDefault="008F5CCA" w:rsidP="008F5CCA">
      <w:pPr>
        <w:pStyle w:val="BodyText"/>
        <w:rPr>
          <w:rFonts w:cstheme="minorHAnsi"/>
          <w:b/>
          <w:bCs/>
          <w:szCs w:val="20"/>
          <w:lang w:val="en-GB"/>
        </w:rPr>
      </w:pPr>
      <w:r w:rsidRPr="008F5CCA">
        <w:rPr>
          <w:rFonts w:cstheme="minorHAnsi"/>
          <w:b/>
          <w:bCs/>
          <w:szCs w:val="20"/>
          <w:lang w:val="en-GB"/>
        </w:rPr>
        <w:t>Developing a scalable genome browser and interactive repository for large and complex multi-omic datasets from non-model organisms of environmental and economic importance</w:t>
      </w:r>
    </w:p>
    <w:p w14:paraId="519595A7" w14:textId="77777777" w:rsidR="008F5CCA" w:rsidRPr="008F5CCA" w:rsidRDefault="008F5CCA" w:rsidP="008F5CCA">
      <w:pPr>
        <w:pStyle w:val="BodyText"/>
        <w:rPr>
          <w:rFonts w:cstheme="minorHAnsi"/>
          <w:szCs w:val="20"/>
          <w:lang w:val="en-GB"/>
        </w:rPr>
      </w:pPr>
      <w:r w:rsidRPr="008F5CCA">
        <w:rPr>
          <w:rFonts w:cstheme="minorHAnsi"/>
          <w:szCs w:val="20"/>
          <w:lang w:val="en-GB"/>
        </w:rPr>
        <w:t xml:space="preserve">Sandie Degnan, Bernie Degnan and Dominique Gorse. School of biological sciences (SBS) and Queensland Cyber Infrastructure Foundation (QCIF Bioinformatics). </w:t>
      </w:r>
    </w:p>
    <w:p w14:paraId="34518601" w14:textId="77777777" w:rsidR="008F5CCA" w:rsidRDefault="008F5CCA" w:rsidP="008F5CCA">
      <w:pPr>
        <w:pStyle w:val="BodyText"/>
        <w:rPr>
          <w:rFonts w:cstheme="minorHAnsi"/>
          <w:szCs w:val="20"/>
          <w:lang w:val="en-GB"/>
        </w:rPr>
      </w:pPr>
    </w:p>
    <w:p w14:paraId="729B10B7" w14:textId="22780316" w:rsidR="008F5CCA" w:rsidRPr="008F5CCA" w:rsidRDefault="008F5CCA" w:rsidP="008F5CCA">
      <w:pPr>
        <w:pStyle w:val="BodyText"/>
        <w:rPr>
          <w:rFonts w:cstheme="minorHAnsi"/>
          <w:b/>
          <w:bCs/>
          <w:szCs w:val="20"/>
          <w:lang w:val="en-GB"/>
        </w:rPr>
      </w:pPr>
      <w:r w:rsidRPr="008F5CCA">
        <w:rPr>
          <w:rFonts w:cstheme="minorHAnsi"/>
          <w:b/>
          <w:bCs/>
          <w:szCs w:val="20"/>
          <w:lang w:val="en-GB"/>
        </w:rPr>
        <w:t xml:space="preserve">Culture-independent metagenomic diagnostics for genomic surveillance and infection control of pathogenic bacteria in clinical settings </w:t>
      </w:r>
    </w:p>
    <w:p w14:paraId="41DD2FA5" w14:textId="77777777" w:rsidR="008F5CCA" w:rsidRPr="008F5CCA" w:rsidRDefault="008F5CCA" w:rsidP="008F5CCA">
      <w:pPr>
        <w:pStyle w:val="BodyText"/>
        <w:rPr>
          <w:rFonts w:cstheme="minorHAnsi"/>
          <w:szCs w:val="20"/>
          <w:lang w:val="en-GB"/>
        </w:rPr>
      </w:pPr>
      <w:r w:rsidRPr="008F5CCA">
        <w:rPr>
          <w:rFonts w:cstheme="minorHAnsi"/>
          <w:szCs w:val="20"/>
          <w:lang w:val="en-GB"/>
        </w:rPr>
        <w:t xml:space="preserve">Brian Forde, Delaney Burnard, David Paterson, Patrick Harris. Centre for Clinical Research (UQCCR). </w:t>
      </w:r>
    </w:p>
    <w:p w14:paraId="1A2E2488" w14:textId="77777777" w:rsidR="008F5CCA" w:rsidRDefault="008F5CCA" w:rsidP="008F5CCA">
      <w:pPr>
        <w:pStyle w:val="BodyText"/>
        <w:rPr>
          <w:rFonts w:cstheme="minorHAnsi"/>
          <w:szCs w:val="20"/>
          <w:lang w:val="en-GB"/>
        </w:rPr>
      </w:pPr>
    </w:p>
    <w:p w14:paraId="5D79ADD2" w14:textId="6B407291" w:rsidR="008F5CCA" w:rsidRPr="008F5CCA" w:rsidRDefault="008F5CCA" w:rsidP="008F5CCA">
      <w:pPr>
        <w:pStyle w:val="BodyText"/>
        <w:rPr>
          <w:rFonts w:cstheme="minorHAnsi"/>
          <w:b/>
          <w:bCs/>
          <w:szCs w:val="20"/>
          <w:lang w:val="en-GB"/>
        </w:rPr>
      </w:pPr>
      <w:r w:rsidRPr="008F5CCA">
        <w:rPr>
          <w:rFonts w:cstheme="minorHAnsi"/>
          <w:b/>
          <w:bCs/>
          <w:szCs w:val="20"/>
          <w:lang w:val="en-GB"/>
        </w:rPr>
        <w:t>Assessing DNA Replication Dynamics in Cancer</w:t>
      </w:r>
    </w:p>
    <w:p w14:paraId="200E4C2C" w14:textId="4FE3F04C" w:rsidR="008F5CCA" w:rsidRPr="008F5CCA" w:rsidRDefault="008F5CCA" w:rsidP="008F5CCA">
      <w:pPr>
        <w:pStyle w:val="BodyText"/>
        <w:rPr>
          <w:rFonts w:cstheme="minorHAnsi"/>
          <w:szCs w:val="20"/>
          <w:lang w:val="en-GB"/>
        </w:rPr>
      </w:pPr>
      <w:r w:rsidRPr="008F5CCA">
        <w:rPr>
          <w:rFonts w:cstheme="minorHAnsi"/>
          <w:szCs w:val="20"/>
          <w:lang w:val="en-GB"/>
        </w:rPr>
        <w:t>Mathew Jones and Paul Clarke. UQ Diamantina Institute</w:t>
      </w:r>
      <w:r w:rsidR="0017568F">
        <w:rPr>
          <w:rFonts w:cstheme="minorHAnsi"/>
          <w:szCs w:val="20"/>
          <w:lang w:val="en-GB"/>
        </w:rPr>
        <w:t xml:space="preserve"> (UQ-DI)</w:t>
      </w:r>
      <w:r w:rsidRPr="008F5CCA">
        <w:rPr>
          <w:rFonts w:cstheme="minorHAnsi"/>
          <w:szCs w:val="20"/>
          <w:lang w:val="en-GB"/>
        </w:rPr>
        <w:t xml:space="preserve">. </w:t>
      </w:r>
    </w:p>
    <w:p w14:paraId="5E3AA6C2" w14:textId="77777777" w:rsidR="008F5CCA" w:rsidRDefault="008F5CCA" w:rsidP="008F5CCA">
      <w:pPr>
        <w:pStyle w:val="BodyText"/>
        <w:rPr>
          <w:rFonts w:cstheme="minorHAnsi"/>
          <w:szCs w:val="20"/>
          <w:lang w:val="en-GB"/>
        </w:rPr>
      </w:pPr>
    </w:p>
    <w:p w14:paraId="5F8D09A0" w14:textId="738E277C" w:rsidR="008F5CCA" w:rsidRPr="008F5CCA" w:rsidRDefault="008F5CCA" w:rsidP="008F5CCA">
      <w:pPr>
        <w:pStyle w:val="BodyText"/>
        <w:rPr>
          <w:rFonts w:cstheme="minorHAnsi"/>
          <w:b/>
          <w:bCs/>
          <w:szCs w:val="20"/>
          <w:lang w:val="en-GB"/>
        </w:rPr>
      </w:pPr>
      <w:r w:rsidRPr="008F5CCA">
        <w:rPr>
          <w:rFonts w:cstheme="minorHAnsi"/>
          <w:b/>
          <w:bCs/>
          <w:szCs w:val="20"/>
          <w:lang w:val="en-GB"/>
        </w:rPr>
        <w:t>High throughput single cell CRISPR technology for experimental validation of population genetics and functional genomics discovery in endometriosis as a model disease</w:t>
      </w:r>
    </w:p>
    <w:p w14:paraId="40B73091" w14:textId="77777777" w:rsidR="008F5CCA" w:rsidRPr="008F5CCA" w:rsidRDefault="008F5CCA" w:rsidP="008F5CCA">
      <w:pPr>
        <w:pStyle w:val="BodyText"/>
        <w:rPr>
          <w:rFonts w:cstheme="minorHAnsi"/>
          <w:szCs w:val="20"/>
          <w:lang w:val="en-GB"/>
        </w:rPr>
      </w:pPr>
      <w:r w:rsidRPr="008F5CCA">
        <w:rPr>
          <w:rFonts w:cstheme="minorHAnsi"/>
          <w:szCs w:val="20"/>
          <w:lang w:val="en-GB"/>
        </w:rPr>
        <w:t xml:space="preserve">Brett McKinnon and Quan Nguyen. Institute for Molecular Biosciences (IMB). </w:t>
      </w:r>
    </w:p>
    <w:p w14:paraId="568E34BB" w14:textId="77777777" w:rsidR="008F5CCA" w:rsidRDefault="008F5CCA" w:rsidP="008F5CCA">
      <w:pPr>
        <w:pStyle w:val="BodyText"/>
        <w:rPr>
          <w:rFonts w:cstheme="minorHAnsi"/>
          <w:szCs w:val="20"/>
          <w:lang w:val="en-GB"/>
        </w:rPr>
      </w:pPr>
    </w:p>
    <w:p w14:paraId="4ECF04AA" w14:textId="1DB4929F" w:rsidR="008F5CCA" w:rsidRPr="008F5CCA" w:rsidRDefault="008F5CCA" w:rsidP="008F5CCA">
      <w:pPr>
        <w:pStyle w:val="BodyText"/>
        <w:rPr>
          <w:rFonts w:cstheme="minorHAnsi"/>
          <w:b/>
          <w:bCs/>
          <w:szCs w:val="20"/>
          <w:lang w:val="en-GB"/>
        </w:rPr>
      </w:pPr>
      <w:r w:rsidRPr="008F5CCA">
        <w:rPr>
          <w:rFonts w:cstheme="minorHAnsi"/>
          <w:b/>
          <w:bCs/>
          <w:szCs w:val="20"/>
          <w:lang w:val="en-GB"/>
        </w:rPr>
        <w:t xml:space="preserve">Optimised bioinformatics and validation pipeline for genome-wide CRISPR screening data </w:t>
      </w:r>
    </w:p>
    <w:p w14:paraId="60955117" w14:textId="76F2CD5D" w:rsidR="008F5CCA" w:rsidRPr="008F5CCA" w:rsidRDefault="008F5CCA" w:rsidP="008F5CCA">
      <w:pPr>
        <w:pStyle w:val="BodyText"/>
        <w:spacing w:line="240" w:lineRule="auto"/>
        <w:rPr>
          <w:rFonts w:cstheme="minorHAnsi"/>
          <w:color w:val="4F2379"/>
          <w:sz w:val="22"/>
          <w:lang w:val="en-GB"/>
        </w:rPr>
      </w:pPr>
      <w:r w:rsidRPr="008F5CCA">
        <w:rPr>
          <w:rFonts w:cstheme="minorHAnsi"/>
          <w:szCs w:val="20"/>
          <w:lang w:val="en-GB"/>
        </w:rPr>
        <w:t>Rebecca San Gil, Adam Walker. Queensland Brain Institute (QBI).</w:t>
      </w:r>
    </w:p>
    <w:p w14:paraId="72A433D2" w14:textId="77777777" w:rsidR="008F5CCA" w:rsidRDefault="008F5CCA" w:rsidP="008F5CCA">
      <w:pPr>
        <w:pStyle w:val="BodyText"/>
        <w:spacing w:line="240" w:lineRule="auto"/>
        <w:rPr>
          <w:rFonts w:cstheme="minorHAnsi"/>
          <w:b/>
          <w:bCs/>
          <w:color w:val="4F2379"/>
          <w:sz w:val="22"/>
          <w:lang w:val="en-GB"/>
        </w:rPr>
      </w:pPr>
    </w:p>
    <w:p w14:paraId="65113200" w14:textId="564A1213" w:rsidR="008F5CCA" w:rsidRPr="000452C2" w:rsidRDefault="008F5CCA" w:rsidP="008F5CCA">
      <w:pPr>
        <w:pStyle w:val="BodyText"/>
        <w:spacing w:line="240" w:lineRule="auto"/>
        <w:rPr>
          <w:rFonts w:ascii="Gotham Medium" w:hAnsi="Gotham Medium" w:cstheme="minorHAnsi"/>
          <w:color w:val="4F2379"/>
          <w:sz w:val="22"/>
          <w:lang w:val="en-GB"/>
        </w:rPr>
      </w:pPr>
      <w:r w:rsidRPr="000452C2">
        <w:rPr>
          <w:rFonts w:ascii="Gotham Medium" w:hAnsi="Gotham Medium" w:cstheme="minorHAnsi"/>
          <w:color w:val="4F2379"/>
          <w:sz w:val="22"/>
          <w:lang w:val="en-GB"/>
        </w:rPr>
        <w:t>2020 GIH Collaborative projects</w:t>
      </w:r>
    </w:p>
    <w:p w14:paraId="45ADF839" w14:textId="4E8E2017" w:rsidR="008F5CCA" w:rsidRPr="008F5CCA" w:rsidRDefault="008F5CCA" w:rsidP="008F5CCA">
      <w:pPr>
        <w:pStyle w:val="BodyText"/>
        <w:spacing w:line="240" w:lineRule="auto"/>
        <w:rPr>
          <w:rFonts w:cstheme="minorHAnsi"/>
          <w:b/>
          <w:bCs/>
          <w:szCs w:val="20"/>
          <w:lang w:val="en-GB"/>
        </w:rPr>
      </w:pPr>
      <w:r w:rsidRPr="008F5CCA">
        <w:rPr>
          <w:rFonts w:cstheme="minorHAnsi"/>
          <w:b/>
          <w:bCs/>
          <w:szCs w:val="20"/>
          <w:lang w:val="en-GB"/>
        </w:rPr>
        <w:t>Simultaneous identification of RNA-chromatin interactions and transcriptomes in single cells</w:t>
      </w:r>
    </w:p>
    <w:p w14:paraId="2CE1CE3D" w14:textId="55ED985E" w:rsidR="00C73CC4" w:rsidRPr="00A92028" w:rsidRDefault="00C73CC4" w:rsidP="00A92028">
      <w:pPr>
        <w:pStyle w:val="BodyText"/>
        <w:spacing w:line="240" w:lineRule="auto"/>
        <w:rPr>
          <w:rFonts w:cstheme="minorHAnsi"/>
          <w:szCs w:val="20"/>
          <w:lang w:val="en-GB"/>
        </w:rPr>
      </w:pPr>
      <w:r w:rsidRPr="00A92028">
        <w:rPr>
          <w:rFonts w:cstheme="minorHAnsi"/>
          <w:szCs w:val="20"/>
          <w:lang w:val="en-GB"/>
        </w:rPr>
        <w:t>Dr. Seth Cheetham, Prof. Geoffrey Faulkner and Dr. Adam Ewing</w:t>
      </w:r>
      <w:r w:rsidR="0017568F">
        <w:rPr>
          <w:rFonts w:cstheme="minorHAnsi"/>
          <w:szCs w:val="20"/>
          <w:lang w:val="en-GB"/>
        </w:rPr>
        <w:t xml:space="preserve">. </w:t>
      </w:r>
      <w:r w:rsidR="009D5468" w:rsidRPr="00A92028">
        <w:rPr>
          <w:rFonts w:cstheme="minorHAnsi"/>
          <w:szCs w:val="20"/>
          <w:lang w:val="en-GB"/>
        </w:rPr>
        <w:t xml:space="preserve">UQ </w:t>
      </w:r>
      <w:r w:rsidRPr="00A92028">
        <w:rPr>
          <w:rFonts w:cstheme="minorHAnsi"/>
          <w:szCs w:val="20"/>
          <w:lang w:val="en-GB"/>
        </w:rPr>
        <w:t>Mater Research Institute, Queensland Brain Institute</w:t>
      </w:r>
      <w:r w:rsidR="0017568F">
        <w:rPr>
          <w:rFonts w:cstheme="minorHAnsi"/>
          <w:szCs w:val="20"/>
          <w:lang w:val="en-GB"/>
        </w:rPr>
        <w:t xml:space="preserve"> (QBI).</w:t>
      </w:r>
    </w:p>
    <w:p w14:paraId="56BD9C99" w14:textId="77777777" w:rsidR="00C73CC4" w:rsidRPr="00A92028" w:rsidRDefault="00C73CC4" w:rsidP="00A92028">
      <w:pPr>
        <w:pStyle w:val="BodyText"/>
        <w:spacing w:line="240" w:lineRule="auto"/>
        <w:rPr>
          <w:rFonts w:cstheme="minorHAnsi"/>
          <w:szCs w:val="20"/>
          <w:lang w:val="en-GB"/>
        </w:rPr>
      </w:pPr>
    </w:p>
    <w:p w14:paraId="54B040A8" w14:textId="2D97CD0A" w:rsidR="008F5CCA" w:rsidRPr="008F5CCA" w:rsidRDefault="008F5CCA" w:rsidP="008F5CCA">
      <w:pPr>
        <w:pStyle w:val="BodyText"/>
        <w:spacing w:line="240" w:lineRule="auto"/>
        <w:rPr>
          <w:rFonts w:cstheme="minorHAnsi"/>
          <w:b/>
          <w:bCs/>
          <w:szCs w:val="20"/>
          <w:lang w:val="en-GB"/>
        </w:rPr>
      </w:pPr>
      <w:r w:rsidRPr="008F5CCA">
        <w:rPr>
          <w:rFonts w:cstheme="minorHAnsi"/>
          <w:b/>
          <w:bCs/>
          <w:szCs w:val="20"/>
          <w:lang w:val="en-GB"/>
        </w:rPr>
        <w:t>A genomic dissection of metaorganisms: molecular approaches for teasing apart the hologenome</w:t>
      </w:r>
    </w:p>
    <w:p w14:paraId="5DF79285" w14:textId="0A6582E5" w:rsidR="00C73CC4" w:rsidRPr="00A92028" w:rsidRDefault="00C73CC4" w:rsidP="00A92028">
      <w:pPr>
        <w:pStyle w:val="BodyText"/>
        <w:spacing w:line="240" w:lineRule="auto"/>
        <w:rPr>
          <w:rFonts w:cstheme="minorHAnsi"/>
          <w:szCs w:val="20"/>
          <w:lang w:val="en-GB"/>
        </w:rPr>
      </w:pPr>
      <w:r w:rsidRPr="00A92028">
        <w:rPr>
          <w:rFonts w:cstheme="minorHAnsi"/>
          <w:szCs w:val="20"/>
          <w:lang w:val="en-GB"/>
        </w:rPr>
        <w:t>Dr Cheong Xin Chan, A/Prof. Peter Erskine, Dr Lauren Messer, Dr Antony van der Ent</w:t>
      </w:r>
      <w:r w:rsidR="0017568F">
        <w:rPr>
          <w:rFonts w:cstheme="minorHAnsi"/>
          <w:szCs w:val="20"/>
          <w:lang w:val="en-GB"/>
        </w:rPr>
        <w:t xml:space="preserve">. </w:t>
      </w:r>
      <w:r w:rsidRPr="00A92028">
        <w:rPr>
          <w:rFonts w:cstheme="minorHAnsi"/>
          <w:szCs w:val="20"/>
          <w:lang w:val="en-GB"/>
        </w:rPr>
        <w:t>School of Chemistry and Molecular Biosciences</w:t>
      </w:r>
      <w:r w:rsidR="0017568F">
        <w:rPr>
          <w:rFonts w:cstheme="minorHAnsi"/>
          <w:szCs w:val="20"/>
          <w:lang w:val="en-GB"/>
        </w:rPr>
        <w:t xml:space="preserve"> (SCMB)</w:t>
      </w:r>
      <w:r w:rsidRPr="00A92028">
        <w:rPr>
          <w:rFonts w:cstheme="minorHAnsi"/>
          <w:szCs w:val="20"/>
          <w:lang w:val="en-GB"/>
        </w:rPr>
        <w:t xml:space="preserve">, Sustainable Mines Institute </w:t>
      </w:r>
      <w:r w:rsidR="0017568F">
        <w:rPr>
          <w:rFonts w:cstheme="minorHAnsi"/>
          <w:szCs w:val="20"/>
          <w:lang w:val="en-GB"/>
        </w:rPr>
        <w:t>(SMI).</w:t>
      </w:r>
    </w:p>
    <w:p w14:paraId="51ABA51F" w14:textId="77777777" w:rsidR="00C73CC4" w:rsidRPr="00A92028" w:rsidRDefault="00C73CC4" w:rsidP="00A92028">
      <w:pPr>
        <w:pStyle w:val="BodyText"/>
        <w:spacing w:line="240" w:lineRule="auto"/>
        <w:rPr>
          <w:rFonts w:cstheme="minorHAnsi"/>
          <w:szCs w:val="20"/>
          <w:lang w:val="en-GB"/>
        </w:rPr>
      </w:pPr>
    </w:p>
    <w:p w14:paraId="60AFCDAA" w14:textId="518906D2" w:rsidR="008F5CCA" w:rsidRPr="008F5CCA" w:rsidRDefault="008F5CCA" w:rsidP="008F5CCA">
      <w:pPr>
        <w:pStyle w:val="BodyText"/>
        <w:spacing w:line="240" w:lineRule="auto"/>
        <w:rPr>
          <w:rFonts w:cstheme="minorHAnsi"/>
          <w:b/>
          <w:bCs/>
          <w:szCs w:val="20"/>
          <w:lang w:val="en-GB"/>
        </w:rPr>
      </w:pPr>
      <w:r w:rsidRPr="008F5CCA">
        <w:rPr>
          <w:rFonts w:cstheme="minorHAnsi"/>
          <w:b/>
          <w:bCs/>
          <w:szCs w:val="20"/>
          <w:lang w:val="en-GB"/>
        </w:rPr>
        <w:t>Understanding host-pathogen interactions through development of new co-transcriptomic single-cell RNA sequencing technologies</w:t>
      </w:r>
    </w:p>
    <w:p w14:paraId="7FB98463" w14:textId="69211A20" w:rsidR="00C73CC4" w:rsidRPr="0017568F" w:rsidRDefault="00C73CC4" w:rsidP="00A92028">
      <w:pPr>
        <w:pStyle w:val="BodyText"/>
        <w:spacing w:line="240" w:lineRule="auto"/>
        <w:rPr>
          <w:rFonts w:cstheme="minorHAnsi"/>
          <w:szCs w:val="20"/>
          <w:lang w:val="en-GB"/>
        </w:rPr>
      </w:pPr>
      <w:r w:rsidRPr="00A92028">
        <w:rPr>
          <w:rFonts w:cstheme="minorHAnsi"/>
          <w:szCs w:val="20"/>
          <w:lang w:val="en-GB"/>
        </w:rPr>
        <w:t>Dr. Ronan Kapetanovic and Prof. Matt Sweet</w:t>
      </w:r>
      <w:r w:rsidR="0017568F">
        <w:rPr>
          <w:rFonts w:cstheme="minorHAnsi"/>
          <w:szCs w:val="20"/>
          <w:lang w:val="en-GB"/>
        </w:rPr>
        <w:t xml:space="preserve">. </w:t>
      </w:r>
      <w:r w:rsidRPr="00A92028">
        <w:rPr>
          <w:rFonts w:cstheme="minorHAnsi"/>
          <w:szCs w:val="20"/>
          <w:lang w:val="en-GB"/>
        </w:rPr>
        <w:t>Institute for Molecular Biosciences</w:t>
      </w:r>
      <w:r w:rsidR="0017568F">
        <w:rPr>
          <w:rFonts w:cstheme="minorHAnsi"/>
          <w:szCs w:val="20"/>
          <w:lang w:val="en-GB"/>
        </w:rPr>
        <w:t xml:space="preserve"> (IMB).</w:t>
      </w:r>
    </w:p>
    <w:p w14:paraId="51A61EA4" w14:textId="77777777" w:rsidR="00C73CC4" w:rsidRPr="00A92028" w:rsidRDefault="00C73CC4" w:rsidP="00A92028">
      <w:pPr>
        <w:pStyle w:val="BodyText"/>
        <w:spacing w:line="240" w:lineRule="auto"/>
        <w:rPr>
          <w:rFonts w:cstheme="minorHAnsi"/>
          <w:szCs w:val="20"/>
          <w:lang w:val="en-GB"/>
        </w:rPr>
      </w:pPr>
    </w:p>
    <w:p w14:paraId="367242A0" w14:textId="4DC21950" w:rsidR="008F5CCA" w:rsidRPr="0017568F" w:rsidRDefault="008F5CCA" w:rsidP="008F5CCA">
      <w:pPr>
        <w:pStyle w:val="BodyText"/>
        <w:spacing w:line="240" w:lineRule="auto"/>
        <w:rPr>
          <w:rFonts w:cstheme="minorHAnsi"/>
          <w:b/>
          <w:bCs/>
          <w:szCs w:val="20"/>
          <w:lang w:val="en-GB"/>
        </w:rPr>
      </w:pPr>
      <w:r w:rsidRPr="0017568F">
        <w:rPr>
          <w:rFonts w:cstheme="minorHAnsi"/>
          <w:b/>
          <w:bCs/>
          <w:szCs w:val="20"/>
          <w:lang w:val="en-GB"/>
        </w:rPr>
        <w:t>Single-cell transcriptome and chromatin profiling in plant cells</w:t>
      </w:r>
    </w:p>
    <w:p w14:paraId="48D8D68F" w14:textId="77777777" w:rsidR="00192897" w:rsidRDefault="00C73CC4" w:rsidP="0017568F">
      <w:pPr>
        <w:pStyle w:val="BodyText"/>
        <w:spacing w:line="240" w:lineRule="auto"/>
        <w:rPr>
          <w:rFonts w:cstheme="minorHAnsi"/>
          <w:szCs w:val="20"/>
          <w:lang w:val="en-GB"/>
        </w:rPr>
      </w:pPr>
      <w:r w:rsidRPr="00A92028">
        <w:rPr>
          <w:rFonts w:cstheme="minorHAnsi"/>
          <w:szCs w:val="20"/>
          <w:lang w:val="en-GB"/>
        </w:rPr>
        <w:t>Dr. Milos Tanurdzic</w:t>
      </w:r>
      <w:r w:rsidR="0017568F">
        <w:rPr>
          <w:rFonts w:cstheme="minorHAnsi"/>
          <w:szCs w:val="20"/>
          <w:lang w:val="en-GB"/>
        </w:rPr>
        <w:t xml:space="preserve">. </w:t>
      </w:r>
      <w:r w:rsidRPr="00A92028">
        <w:rPr>
          <w:rFonts w:cstheme="minorHAnsi"/>
          <w:szCs w:val="20"/>
          <w:lang w:val="en-GB"/>
        </w:rPr>
        <w:t>School of Biological Sciences</w:t>
      </w:r>
      <w:r w:rsidR="0017568F">
        <w:rPr>
          <w:rFonts w:cstheme="minorHAnsi"/>
          <w:szCs w:val="20"/>
          <w:lang w:val="en-GB"/>
        </w:rPr>
        <w:t xml:space="preserve"> (SBS).</w:t>
      </w:r>
    </w:p>
    <w:p w14:paraId="63FE4F1C" w14:textId="1F4F861D" w:rsidR="0017568F" w:rsidRPr="00192897" w:rsidRDefault="0017568F" w:rsidP="0017568F">
      <w:pPr>
        <w:pStyle w:val="BodyText"/>
        <w:spacing w:line="240" w:lineRule="auto"/>
        <w:rPr>
          <w:rFonts w:cstheme="minorHAnsi"/>
          <w:szCs w:val="20"/>
          <w:lang w:val="en-GB"/>
        </w:rPr>
      </w:pPr>
      <w:r w:rsidRPr="0017568F">
        <w:rPr>
          <w:rFonts w:cstheme="minorHAnsi"/>
          <w:b/>
          <w:bCs/>
          <w:szCs w:val="20"/>
          <w:lang w:val="en-GB"/>
        </w:rPr>
        <w:lastRenderedPageBreak/>
        <w:t>Targeted capture and detection of 16s rRNA gene applying PCR-free long read sequencing</w:t>
      </w:r>
    </w:p>
    <w:p w14:paraId="5DC44519" w14:textId="0C10A666" w:rsidR="00C73CC4" w:rsidRPr="00A92028" w:rsidRDefault="00C73CC4" w:rsidP="00A92028">
      <w:pPr>
        <w:pStyle w:val="BodyText"/>
        <w:spacing w:line="240" w:lineRule="auto"/>
        <w:rPr>
          <w:rFonts w:cstheme="minorHAnsi"/>
          <w:szCs w:val="20"/>
          <w:lang w:val="en-GB"/>
        </w:rPr>
      </w:pPr>
      <w:r w:rsidRPr="00A92028">
        <w:rPr>
          <w:rFonts w:cstheme="minorHAnsi"/>
          <w:szCs w:val="20"/>
          <w:lang w:val="en-GB"/>
        </w:rPr>
        <w:t>Dr Sanjaya Kc</w:t>
      </w:r>
      <w:r w:rsidR="0017568F">
        <w:rPr>
          <w:rFonts w:cstheme="minorHAnsi"/>
          <w:szCs w:val="20"/>
          <w:lang w:val="en-GB"/>
        </w:rPr>
        <w:t xml:space="preserve">. </w:t>
      </w:r>
      <w:r w:rsidRPr="00A92028">
        <w:rPr>
          <w:rFonts w:cstheme="minorHAnsi"/>
          <w:szCs w:val="20"/>
          <w:lang w:val="en-GB"/>
        </w:rPr>
        <w:t>Institute for Molecular Biosciences</w:t>
      </w:r>
      <w:r w:rsidR="0017568F">
        <w:rPr>
          <w:rFonts w:cstheme="minorHAnsi"/>
          <w:szCs w:val="20"/>
          <w:lang w:val="en-GB"/>
        </w:rPr>
        <w:t xml:space="preserve"> (IMB).</w:t>
      </w:r>
    </w:p>
    <w:p w14:paraId="79CC6FA8" w14:textId="79A86A45" w:rsidR="0017568F" w:rsidRPr="0017568F" w:rsidRDefault="0017568F" w:rsidP="0017568F">
      <w:pPr>
        <w:pStyle w:val="BodyText"/>
        <w:spacing w:line="240" w:lineRule="auto"/>
        <w:rPr>
          <w:rFonts w:cstheme="minorHAnsi"/>
          <w:b/>
          <w:bCs/>
          <w:szCs w:val="20"/>
          <w:lang w:val="en-GB"/>
        </w:rPr>
      </w:pPr>
      <w:r w:rsidRPr="0017568F">
        <w:rPr>
          <w:rFonts w:cstheme="minorHAnsi"/>
          <w:b/>
          <w:bCs/>
          <w:szCs w:val="20"/>
          <w:lang w:val="en-GB"/>
        </w:rPr>
        <w:t>OmniCRISPR: a simultaneous and combinatorial approach to the generation of multiple precise genomic alterations in a human stem cell model</w:t>
      </w:r>
    </w:p>
    <w:p w14:paraId="6CB728FD" w14:textId="35BCE3AB" w:rsidR="00C73CC4" w:rsidRPr="00A92028" w:rsidRDefault="00C73CC4" w:rsidP="00A92028">
      <w:pPr>
        <w:pStyle w:val="BodyText"/>
        <w:spacing w:line="240" w:lineRule="auto"/>
        <w:rPr>
          <w:rFonts w:cstheme="minorHAnsi"/>
          <w:szCs w:val="20"/>
          <w:lang w:val="en-GB"/>
        </w:rPr>
      </w:pPr>
      <w:r w:rsidRPr="00A92028">
        <w:rPr>
          <w:rFonts w:cstheme="minorHAnsi"/>
          <w:szCs w:val="20"/>
          <w:lang w:val="en-GB"/>
        </w:rPr>
        <w:t>Dr. Dmitry Ovchinnikov</w:t>
      </w:r>
      <w:r w:rsidR="0017568F">
        <w:rPr>
          <w:rFonts w:cstheme="minorHAnsi"/>
          <w:szCs w:val="20"/>
          <w:lang w:val="en-GB"/>
        </w:rPr>
        <w:t xml:space="preserve">. </w:t>
      </w:r>
      <w:r w:rsidRPr="00A92028">
        <w:rPr>
          <w:rFonts w:cstheme="minorHAnsi"/>
          <w:szCs w:val="20"/>
          <w:lang w:val="en-GB"/>
        </w:rPr>
        <w:t>Australian Institute for Bioengineering and Nanotechnology</w:t>
      </w:r>
      <w:r w:rsidR="0017568F">
        <w:rPr>
          <w:rFonts w:cstheme="minorHAnsi"/>
          <w:szCs w:val="20"/>
          <w:lang w:val="en-GB"/>
        </w:rPr>
        <w:t xml:space="preserve"> (AIBN).</w:t>
      </w:r>
    </w:p>
    <w:p w14:paraId="74135D5A" w14:textId="77777777" w:rsidR="00C73CC4" w:rsidRPr="00A92028" w:rsidRDefault="00C73CC4" w:rsidP="00A92028">
      <w:pPr>
        <w:pStyle w:val="BodyText"/>
        <w:spacing w:line="240" w:lineRule="auto"/>
        <w:rPr>
          <w:rFonts w:cstheme="minorHAnsi"/>
          <w:szCs w:val="20"/>
          <w:lang w:val="en-GB"/>
        </w:rPr>
      </w:pPr>
    </w:p>
    <w:p w14:paraId="10D95BFB" w14:textId="096063BE" w:rsidR="0017568F" w:rsidRPr="0017568F" w:rsidRDefault="0017568F" w:rsidP="0017568F">
      <w:pPr>
        <w:pStyle w:val="BodyText"/>
        <w:spacing w:line="240" w:lineRule="auto"/>
        <w:rPr>
          <w:rFonts w:cstheme="minorHAnsi"/>
          <w:b/>
          <w:bCs/>
          <w:szCs w:val="20"/>
          <w:lang w:val="en-GB"/>
        </w:rPr>
      </w:pPr>
      <w:r w:rsidRPr="0017568F">
        <w:rPr>
          <w:rFonts w:cstheme="minorHAnsi"/>
          <w:b/>
          <w:bCs/>
          <w:szCs w:val="20"/>
          <w:lang w:val="en-GB"/>
        </w:rPr>
        <w:t>TraDIS-Vault: an interactive searchable genome browser and repository for TraDIS data</w:t>
      </w:r>
    </w:p>
    <w:p w14:paraId="1A2B0D88" w14:textId="50BC2C7A" w:rsidR="00A350BA" w:rsidRDefault="00C73CC4" w:rsidP="0017568F">
      <w:pPr>
        <w:pStyle w:val="BodyText"/>
        <w:spacing w:line="240" w:lineRule="auto"/>
        <w:rPr>
          <w:rFonts w:cstheme="minorHAnsi"/>
          <w:szCs w:val="20"/>
          <w:lang w:val="en-GB"/>
        </w:rPr>
      </w:pPr>
      <w:r w:rsidRPr="00A92028">
        <w:rPr>
          <w:rFonts w:cstheme="minorHAnsi"/>
          <w:szCs w:val="20"/>
          <w:lang w:val="en-GB"/>
        </w:rPr>
        <w:t>Prof Ian Henderson, Dr. Dom Gorse</w:t>
      </w:r>
      <w:r w:rsidR="0017568F">
        <w:rPr>
          <w:rFonts w:cstheme="minorHAnsi"/>
          <w:szCs w:val="20"/>
          <w:lang w:val="en-GB"/>
        </w:rPr>
        <w:t xml:space="preserve">. </w:t>
      </w:r>
      <w:r w:rsidRPr="00A92028">
        <w:rPr>
          <w:rFonts w:cstheme="minorHAnsi"/>
          <w:szCs w:val="20"/>
          <w:lang w:val="en-GB"/>
        </w:rPr>
        <w:t>Q</w:t>
      </w:r>
      <w:r w:rsidR="0017568F">
        <w:rPr>
          <w:rFonts w:cstheme="minorHAnsi"/>
          <w:szCs w:val="20"/>
          <w:lang w:val="en-GB"/>
        </w:rPr>
        <w:t>CIF</w:t>
      </w:r>
      <w:r w:rsidRPr="00A92028">
        <w:rPr>
          <w:rFonts w:cstheme="minorHAnsi"/>
          <w:szCs w:val="20"/>
          <w:lang w:val="en-GB"/>
        </w:rPr>
        <w:t xml:space="preserve"> Bioinformatics, Institute for Molecular Biosciences</w:t>
      </w:r>
      <w:r w:rsidR="0017568F">
        <w:rPr>
          <w:rFonts w:cstheme="minorHAnsi"/>
          <w:szCs w:val="20"/>
          <w:lang w:val="en-GB"/>
        </w:rPr>
        <w:t xml:space="preserve"> (IMB)</w:t>
      </w:r>
    </w:p>
    <w:p w14:paraId="21BF813D" w14:textId="1FCD1854" w:rsidR="0017568F" w:rsidRPr="00A350BA" w:rsidRDefault="0017568F" w:rsidP="0017568F">
      <w:pPr>
        <w:pStyle w:val="BodyText"/>
        <w:spacing w:line="240" w:lineRule="auto"/>
        <w:rPr>
          <w:rFonts w:cstheme="minorHAnsi"/>
          <w:szCs w:val="20"/>
          <w:lang w:val="en-GB"/>
        </w:rPr>
      </w:pPr>
      <w:r w:rsidRPr="0017568F">
        <w:rPr>
          <w:rFonts w:cstheme="minorHAnsi"/>
          <w:b/>
          <w:bCs/>
          <w:szCs w:val="20"/>
          <w:lang w:val="en-GB"/>
        </w:rPr>
        <w:t>Combining novel scSLAM-seq technology with 10x Genomics Chromium to track microchanges in newly synthesised RNA at the single-cell level during macrophage efferocytosis</w:t>
      </w:r>
    </w:p>
    <w:p w14:paraId="3CC95E09" w14:textId="40899B89" w:rsidR="00C73CC4" w:rsidRPr="00A92028" w:rsidRDefault="00C73CC4" w:rsidP="00A92028">
      <w:pPr>
        <w:pStyle w:val="BodyText"/>
        <w:spacing w:line="240" w:lineRule="auto"/>
        <w:rPr>
          <w:rFonts w:cstheme="minorHAnsi"/>
          <w:szCs w:val="20"/>
          <w:lang w:val="en-GB"/>
        </w:rPr>
      </w:pPr>
      <w:r w:rsidRPr="00A92028">
        <w:rPr>
          <w:rFonts w:cstheme="minorHAnsi"/>
          <w:szCs w:val="20"/>
          <w:lang w:val="en-GB"/>
        </w:rPr>
        <w:t>Dr. Denuja Karunakaran</w:t>
      </w:r>
      <w:r w:rsidR="0017568F">
        <w:rPr>
          <w:rFonts w:cstheme="minorHAnsi"/>
          <w:szCs w:val="20"/>
          <w:lang w:val="en-GB"/>
        </w:rPr>
        <w:t xml:space="preserve">. </w:t>
      </w:r>
      <w:r w:rsidRPr="00A92028">
        <w:rPr>
          <w:rFonts w:cstheme="minorHAnsi"/>
          <w:szCs w:val="20"/>
          <w:lang w:val="en-GB"/>
        </w:rPr>
        <w:t>Institute for Molecular Biosciences</w:t>
      </w:r>
      <w:r w:rsidR="0017568F">
        <w:rPr>
          <w:rFonts w:cstheme="minorHAnsi"/>
          <w:szCs w:val="20"/>
          <w:lang w:val="en-GB"/>
        </w:rPr>
        <w:t xml:space="preserve"> (IMB)</w:t>
      </w:r>
    </w:p>
    <w:p w14:paraId="68AED388" w14:textId="77777777" w:rsidR="00E02710" w:rsidRPr="00A92028" w:rsidRDefault="00E02710" w:rsidP="00A92028">
      <w:pPr>
        <w:pStyle w:val="BodyText"/>
        <w:spacing w:line="240" w:lineRule="auto"/>
        <w:rPr>
          <w:rFonts w:cstheme="minorHAnsi"/>
          <w:szCs w:val="20"/>
        </w:rPr>
      </w:pPr>
    </w:p>
    <w:p w14:paraId="0DB15304" w14:textId="77777777" w:rsidR="00643A5A" w:rsidRPr="000452C2" w:rsidRDefault="00643A5A" w:rsidP="00A92028">
      <w:pPr>
        <w:pStyle w:val="BodyText"/>
        <w:spacing w:line="240" w:lineRule="auto"/>
        <w:rPr>
          <w:rFonts w:ascii="Gotham Medium" w:hAnsi="Gotham Medium" w:cstheme="minorHAnsi"/>
          <w:color w:val="4F2379"/>
          <w:sz w:val="22"/>
          <w:lang w:val="en-GB"/>
        </w:rPr>
      </w:pPr>
      <w:r w:rsidRPr="000452C2">
        <w:rPr>
          <w:rFonts w:ascii="Gotham Medium" w:hAnsi="Gotham Medium" w:cstheme="minorHAnsi"/>
          <w:color w:val="4F2379"/>
          <w:sz w:val="22"/>
          <w:lang w:val="en-GB"/>
        </w:rPr>
        <w:t>2019 GIH Collaborative projects</w:t>
      </w:r>
    </w:p>
    <w:p w14:paraId="51949452" w14:textId="5284BBA8" w:rsidR="0017568F" w:rsidRPr="0017568F" w:rsidRDefault="0017568F" w:rsidP="0017568F">
      <w:pPr>
        <w:pStyle w:val="BodyText"/>
        <w:spacing w:line="240" w:lineRule="auto"/>
        <w:rPr>
          <w:rFonts w:cstheme="minorHAnsi"/>
          <w:b/>
          <w:bCs/>
          <w:szCs w:val="20"/>
        </w:rPr>
      </w:pPr>
      <w:r w:rsidRPr="0017568F">
        <w:rPr>
          <w:rFonts w:cstheme="minorHAnsi"/>
          <w:b/>
          <w:bCs/>
          <w:szCs w:val="20"/>
        </w:rPr>
        <w:t>Spatial genomics technologies to study cancer and genetic diseases in tissue contexts</w:t>
      </w:r>
    </w:p>
    <w:p w14:paraId="0E148FBE" w14:textId="5FE501BE" w:rsidR="00643A5A" w:rsidRPr="0017568F" w:rsidRDefault="00643A5A" w:rsidP="00A92028">
      <w:pPr>
        <w:pStyle w:val="BodyText"/>
        <w:spacing w:line="240" w:lineRule="auto"/>
        <w:rPr>
          <w:rFonts w:cstheme="minorHAnsi"/>
          <w:szCs w:val="20"/>
        </w:rPr>
      </w:pPr>
      <w:r w:rsidRPr="0038414A">
        <w:rPr>
          <w:rFonts w:cstheme="minorHAnsi"/>
          <w:szCs w:val="20"/>
        </w:rPr>
        <w:t>Dr Quan Nguyen, A/Prof Andrew Mallett</w:t>
      </w:r>
      <w:r w:rsidR="0017568F">
        <w:rPr>
          <w:rFonts w:cstheme="minorHAnsi"/>
          <w:szCs w:val="20"/>
        </w:rPr>
        <w:t xml:space="preserve">, </w:t>
      </w:r>
      <w:r w:rsidRPr="00A92028">
        <w:rPr>
          <w:rFonts w:cstheme="minorHAnsi"/>
          <w:szCs w:val="20"/>
          <w:lang w:val="en-GB"/>
        </w:rPr>
        <w:t>Institute for Molecular Biosciences</w:t>
      </w:r>
      <w:r w:rsidR="0017568F">
        <w:rPr>
          <w:rFonts w:cstheme="minorHAnsi"/>
          <w:szCs w:val="20"/>
          <w:lang w:val="en-GB"/>
        </w:rPr>
        <w:t xml:space="preserve"> (IMB)</w:t>
      </w:r>
    </w:p>
    <w:p w14:paraId="55B779BC" w14:textId="77777777" w:rsidR="00643A5A" w:rsidRPr="00A92028" w:rsidRDefault="00643A5A" w:rsidP="00A92028">
      <w:pPr>
        <w:pStyle w:val="BodyText"/>
        <w:spacing w:line="240" w:lineRule="auto"/>
        <w:rPr>
          <w:rFonts w:cstheme="minorHAnsi"/>
          <w:szCs w:val="20"/>
        </w:rPr>
      </w:pPr>
    </w:p>
    <w:p w14:paraId="4F47987B" w14:textId="4ACEFB5D" w:rsidR="0051096D" w:rsidRPr="0051096D" w:rsidRDefault="0051096D" w:rsidP="0051096D">
      <w:pPr>
        <w:pStyle w:val="BodyText"/>
        <w:spacing w:line="240" w:lineRule="auto"/>
        <w:rPr>
          <w:rFonts w:cstheme="minorHAnsi"/>
          <w:b/>
          <w:bCs/>
          <w:szCs w:val="20"/>
        </w:rPr>
      </w:pPr>
      <w:r w:rsidRPr="0051096D">
        <w:rPr>
          <w:rFonts w:cstheme="minorHAnsi"/>
          <w:b/>
          <w:bCs/>
          <w:szCs w:val="20"/>
        </w:rPr>
        <w:t>Automated single cell quantitative in situ gene expression in cells and tissues (AutoMerFISH)</w:t>
      </w:r>
    </w:p>
    <w:p w14:paraId="44393410" w14:textId="1110E8D9" w:rsidR="00643A5A" w:rsidRPr="0051096D" w:rsidRDefault="00643A5A" w:rsidP="00A92028">
      <w:pPr>
        <w:pStyle w:val="BodyText"/>
        <w:spacing w:line="240" w:lineRule="auto"/>
        <w:rPr>
          <w:rFonts w:cstheme="minorHAnsi"/>
          <w:szCs w:val="20"/>
        </w:rPr>
      </w:pPr>
      <w:r w:rsidRPr="0038414A">
        <w:rPr>
          <w:rFonts w:cstheme="minorHAnsi"/>
          <w:szCs w:val="20"/>
        </w:rPr>
        <w:t>Prof Ernst Wolvetang, A/Prof Jessica Mar, Dr Shyuan Ngo</w:t>
      </w:r>
      <w:r w:rsidR="0051096D">
        <w:rPr>
          <w:rFonts w:cstheme="minorHAnsi"/>
          <w:szCs w:val="20"/>
        </w:rPr>
        <w:t xml:space="preserve">, </w:t>
      </w:r>
      <w:r w:rsidRPr="00A92028">
        <w:rPr>
          <w:rFonts w:cstheme="minorHAnsi"/>
          <w:szCs w:val="20"/>
          <w:lang w:val="en-GB"/>
        </w:rPr>
        <w:t>Australian Institute for Bioengineering and Nanotechnology</w:t>
      </w:r>
      <w:r w:rsidR="0051096D">
        <w:rPr>
          <w:rFonts w:cstheme="minorHAnsi"/>
          <w:szCs w:val="20"/>
          <w:lang w:val="en-GB"/>
        </w:rPr>
        <w:t xml:space="preserve"> (AIBN)</w:t>
      </w:r>
    </w:p>
    <w:p w14:paraId="342A152D" w14:textId="77777777" w:rsidR="005118F6" w:rsidRPr="00A92028" w:rsidRDefault="005118F6" w:rsidP="00A92028">
      <w:pPr>
        <w:pStyle w:val="BodyText"/>
        <w:spacing w:line="240" w:lineRule="auto"/>
        <w:rPr>
          <w:rFonts w:cstheme="minorHAnsi"/>
          <w:b/>
          <w:bCs/>
          <w:szCs w:val="20"/>
        </w:rPr>
      </w:pPr>
    </w:p>
    <w:p w14:paraId="28DD39F6" w14:textId="4CA73458" w:rsidR="0051096D" w:rsidRPr="0051096D" w:rsidRDefault="0051096D" w:rsidP="0051096D">
      <w:pPr>
        <w:pStyle w:val="BodyText"/>
        <w:spacing w:line="240" w:lineRule="auto"/>
        <w:rPr>
          <w:rFonts w:cstheme="minorHAnsi"/>
          <w:b/>
          <w:bCs/>
          <w:szCs w:val="20"/>
        </w:rPr>
      </w:pPr>
      <w:r w:rsidRPr="0051096D">
        <w:rPr>
          <w:rFonts w:cstheme="minorHAnsi"/>
          <w:b/>
          <w:bCs/>
          <w:szCs w:val="20"/>
        </w:rPr>
        <w:t>Applying long-read sequencing technology to understand telomere repair and DNA replication</w:t>
      </w:r>
    </w:p>
    <w:p w14:paraId="6595B703" w14:textId="5D6354B3" w:rsidR="005118F6" w:rsidRPr="005118F6" w:rsidRDefault="00643A5A" w:rsidP="00A92028">
      <w:pPr>
        <w:pStyle w:val="BodyText"/>
        <w:spacing w:line="240" w:lineRule="auto"/>
        <w:rPr>
          <w:rFonts w:cstheme="minorHAnsi"/>
          <w:szCs w:val="20"/>
        </w:rPr>
      </w:pPr>
      <w:r w:rsidRPr="0038414A">
        <w:rPr>
          <w:rFonts w:cstheme="minorHAnsi"/>
          <w:szCs w:val="20"/>
        </w:rPr>
        <w:t>Dr Mathew Jones, Prof Paul Clarke</w:t>
      </w:r>
      <w:r w:rsidR="0051096D">
        <w:rPr>
          <w:rFonts w:cstheme="minorHAnsi"/>
          <w:szCs w:val="20"/>
        </w:rPr>
        <w:t xml:space="preserve">. </w:t>
      </w:r>
      <w:r w:rsidR="005118F6" w:rsidRPr="00A92028">
        <w:rPr>
          <w:rFonts w:cstheme="minorHAnsi"/>
          <w:szCs w:val="20"/>
        </w:rPr>
        <w:t xml:space="preserve">UQ </w:t>
      </w:r>
      <w:r w:rsidR="005118F6" w:rsidRPr="005118F6">
        <w:rPr>
          <w:rFonts w:cstheme="minorHAnsi"/>
          <w:szCs w:val="20"/>
        </w:rPr>
        <w:t>Diamantina Institute</w:t>
      </w:r>
      <w:r w:rsidR="0051096D">
        <w:rPr>
          <w:rFonts w:cstheme="minorHAnsi"/>
          <w:szCs w:val="20"/>
        </w:rPr>
        <w:t xml:space="preserve"> (UQ-DI)</w:t>
      </w:r>
    </w:p>
    <w:p w14:paraId="69538DCA" w14:textId="77777777" w:rsidR="00643A5A" w:rsidRPr="00A92028" w:rsidRDefault="00643A5A" w:rsidP="00A92028">
      <w:pPr>
        <w:pStyle w:val="BodyText"/>
        <w:spacing w:line="240" w:lineRule="auto"/>
        <w:rPr>
          <w:rFonts w:cstheme="minorHAnsi"/>
          <w:szCs w:val="20"/>
        </w:rPr>
      </w:pPr>
    </w:p>
    <w:p w14:paraId="3159D83A" w14:textId="6E263928" w:rsidR="0051096D" w:rsidRPr="0051096D" w:rsidRDefault="0051096D" w:rsidP="0051096D">
      <w:pPr>
        <w:pStyle w:val="BodyText"/>
        <w:spacing w:line="240" w:lineRule="auto"/>
        <w:rPr>
          <w:rFonts w:cstheme="minorHAnsi"/>
          <w:b/>
          <w:bCs/>
          <w:szCs w:val="20"/>
        </w:rPr>
      </w:pPr>
      <w:r w:rsidRPr="0051096D">
        <w:rPr>
          <w:rFonts w:cstheme="minorHAnsi"/>
          <w:b/>
          <w:bCs/>
          <w:szCs w:val="20"/>
        </w:rPr>
        <w:t>Discovery of new regulatory networks with long-read transcriptomics</w:t>
      </w:r>
    </w:p>
    <w:p w14:paraId="071ECD89" w14:textId="2B7F2324" w:rsidR="005118F6" w:rsidRPr="0038414A" w:rsidRDefault="00643A5A" w:rsidP="00A92028">
      <w:pPr>
        <w:pStyle w:val="BodyText"/>
        <w:spacing w:line="240" w:lineRule="auto"/>
        <w:rPr>
          <w:rFonts w:cstheme="minorHAnsi"/>
          <w:szCs w:val="20"/>
        </w:rPr>
      </w:pPr>
      <w:r w:rsidRPr="0038414A">
        <w:rPr>
          <w:rFonts w:cstheme="minorHAnsi"/>
          <w:szCs w:val="20"/>
        </w:rPr>
        <w:t>A/Prof Scott Beatson, Prof Mark Schembri, Prof Mark Walker</w:t>
      </w:r>
      <w:r w:rsidR="0051096D">
        <w:rPr>
          <w:rFonts w:cstheme="minorHAnsi"/>
          <w:szCs w:val="20"/>
        </w:rPr>
        <w:t xml:space="preserve">. </w:t>
      </w:r>
      <w:r w:rsidR="005118F6" w:rsidRPr="00A92028">
        <w:rPr>
          <w:rFonts w:cstheme="minorHAnsi"/>
          <w:szCs w:val="20"/>
          <w:lang w:val="en-GB"/>
        </w:rPr>
        <w:t>School of Chemistry and Molecular Biosciences</w:t>
      </w:r>
      <w:r w:rsidR="0051096D">
        <w:rPr>
          <w:rFonts w:cstheme="minorHAnsi"/>
          <w:szCs w:val="20"/>
          <w:lang w:val="en-GB"/>
        </w:rPr>
        <w:t xml:space="preserve"> (SCMB)</w:t>
      </w:r>
    </w:p>
    <w:p w14:paraId="099681B2" w14:textId="084928B4" w:rsidR="00643A5A" w:rsidRDefault="00643A5A" w:rsidP="00A92028">
      <w:pPr>
        <w:pStyle w:val="BodyText"/>
        <w:spacing w:line="240" w:lineRule="auto"/>
        <w:rPr>
          <w:rFonts w:cstheme="minorHAnsi"/>
          <w:b/>
          <w:bCs/>
          <w:szCs w:val="20"/>
        </w:rPr>
      </w:pPr>
    </w:p>
    <w:p w14:paraId="4183C588" w14:textId="6FCEA2D0" w:rsidR="0051096D" w:rsidRPr="0051096D" w:rsidRDefault="0051096D" w:rsidP="0051096D">
      <w:pPr>
        <w:pStyle w:val="BodyText"/>
        <w:spacing w:line="240" w:lineRule="auto"/>
        <w:rPr>
          <w:rFonts w:cstheme="minorHAnsi"/>
          <w:b/>
          <w:bCs/>
          <w:szCs w:val="20"/>
        </w:rPr>
      </w:pPr>
      <w:r w:rsidRPr="0051096D">
        <w:rPr>
          <w:rFonts w:cstheme="minorHAnsi"/>
          <w:b/>
          <w:bCs/>
          <w:szCs w:val="20"/>
        </w:rPr>
        <w:t>Genome-wide CRISPR screening for modifiers of diverse cellular phenotypes</w:t>
      </w:r>
    </w:p>
    <w:p w14:paraId="2E95FCE9" w14:textId="5CBD6F86" w:rsidR="005118F6" w:rsidRPr="0038414A" w:rsidRDefault="00643A5A" w:rsidP="00A92028">
      <w:pPr>
        <w:pStyle w:val="BodyText"/>
        <w:spacing w:line="240" w:lineRule="auto"/>
        <w:rPr>
          <w:rFonts w:cstheme="minorHAnsi"/>
          <w:szCs w:val="20"/>
        </w:rPr>
      </w:pPr>
      <w:r w:rsidRPr="0038414A">
        <w:rPr>
          <w:rFonts w:cstheme="minorHAnsi"/>
          <w:szCs w:val="20"/>
        </w:rPr>
        <w:t>Dr Rebecca San Gil, Dr Adam Walker</w:t>
      </w:r>
      <w:r w:rsidR="0051096D">
        <w:rPr>
          <w:rFonts w:cstheme="minorHAnsi"/>
          <w:szCs w:val="20"/>
        </w:rPr>
        <w:t xml:space="preserve">, </w:t>
      </w:r>
      <w:r w:rsidR="005118F6" w:rsidRPr="00A92028">
        <w:rPr>
          <w:rFonts w:cstheme="minorHAnsi"/>
          <w:szCs w:val="20"/>
        </w:rPr>
        <w:t>Queensland Brain Institute</w:t>
      </w:r>
      <w:r w:rsidR="0051096D">
        <w:rPr>
          <w:rFonts w:cstheme="minorHAnsi"/>
          <w:szCs w:val="20"/>
        </w:rPr>
        <w:t xml:space="preserve"> (QBI)</w:t>
      </w:r>
    </w:p>
    <w:p w14:paraId="45E8A853" w14:textId="77777777" w:rsidR="00643A5A" w:rsidRPr="00A92028" w:rsidRDefault="00643A5A" w:rsidP="00A92028">
      <w:pPr>
        <w:pStyle w:val="BodyText"/>
        <w:spacing w:line="240" w:lineRule="auto"/>
        <w:rPr>
          <w:rFonts w:cstheme="minorHAnsi"/>
          <w:szCs w:val="20"/>
        </w:rPr>
      </w:pPr>
    </w:p>
    <w:p w14:paraId="41E85BB1" w14:textId="1963D693" w:rsidR="0051096D" w:rsidRPr="0051096D" w:rsidRDefault="0051096D" w:rsidP="0051096D">
      <w:pPr>
        <w:pStyle w:val="BodyText"/>
        <w:spacing w:line="240" w:lineRule="auto"/>
        <w:rPr>
          <w:rFonts w:cstheme="minorHAnsi"/>
          <w:b/>
          <w:bCs/>
          <w:szCs w:val="20"/>
        </w:rPr>
      </w:pPr>
      <w:r w:rsidRPr="0051096D">
        <w:rPr>
          <w:rFonts w:cstheme="minorHAnsi"/>
          <w:b/>
          <w:bCs/>
          <w:szCs w:val="20"/>
        </w:rPr>
        <w:t>Using transposon-sequencing to probe whole cell protein-protein interactions</w:t>
      </w:r>
    </w:p>
    <w:p w14:paraId="6BEE39BD" w14:textId="5E5E24FA" w:rsidR="00011EC4" w:rsidRPr="0038414A" w:rsidRDefault="00643A5A" w:rsidP="00A92028">
      <w:pPr>
        <w:pStyle w:val="BodyText"/>
        <w:spacing w:line="240" w:lineRule="auto"/>
        <w:rPr>
          <w:rFonts w:cstheme="minorHAnsi"/>
          <w:szCs w:val="20"/>
        </w:rPr>
      </w:pPr>
      <w:r w:rsidRPr="0038414A">
        <w:rPr>
          <w:rFonts w:cstheme="minorHAnsi"/>
          <w:szCs w:val="20"/>
        </w:rPr>
        <w:t>Dr Emily Goodall, Prof Ian Henderson</w:t>
      </w:r>
      <w:r w:rsidR="0051096D">
        <w:rPr>
          <w:rFonts w:cstheme="minorHAnsi"/>
          <w:szCs w:val="20"/>
        </w:rPr>
        <w:t xml:space="preserve">. </w:t>
      </w:r>
      <w:r w:rsidR="00011EC4" w:rsidRPr="00A92028">
        <w:rPr>
          <w:rFonts w:cstheme="minorHAnsi"/>
          <w:szCs w:val="20"/>
        </w:rPr>
        <w:t>Institute for Molecular Biosciences</w:t>
      </w:r>
      <w:r w:rsidR="0051096D">
        <w:rPr>
          <w:rFonts w:cstheme="minorHAnsi"/>
          <w:szCs w:val="20"/>
        </w:rPr>
        <w:t xml:space="preserve"> (IMB)</w:t>
      </w:r>
    </w:p>
    <w:p w14:paraId="52284C38" w14:textId="05A40BE2" w:rsidR="001D441E" w:rsidRPr="00DF4CF9" w:rsidRDefault="001D441E">
      <w:pPr>
        <w:spacing w:line="360" w:lineRule="auto"/>
        <w:rPr>
          <w:rFonts w:ascii="Arial" w:hAnsi="Arial" w:cs="Arial"/>
        </w:rPr>
      </w:pPr>
    </w:p>
    <w:sectPr w:rsidR="001D441E" w:rsidRPr="00DF4CF9" w:rsidSect="005A6CC7">
      <w:headerReference w:type="default" r:id="rId14"/>
      <w:footerReference w:type="default" r:id="rId15"/>
      <w:headerReference w:type="first" r:id="rId16"/>
      <w:footerReference w:type="first" r:id="rId17"/>
      <w:pgSz w:w="11906" w:h="16838" w:code="9"/>
      <w:pgMar w:top="238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B6435" w14:textId="77777777" w:rsidR="00E240B0" w:rsidRDefault="00E240B0" w:rsidP="00C20C17">
      <w:r>
        <w:separator/>
      </w:r>
    </w:p>
  </w:endnote>
  <w:endnote w:type="continuationSeparator" w:id="0">
    <w:p w14:paraId="11D7BA04" w14:textId="77777777" w:rsidR="00E240B0" w:rsidRDefault="00E240B0"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3471"/>
      <w:gridCol w:w="1559"/>
      <w:gridCol w:w="272"/>
    </w:tblGrid>
    <w:tr w:rsidR="00035763" w:rsidRPr="00CB4BE5" w14:paraId="1506EC20" w14:textId="77777777" w:rsidTr="00CB4BE5">
      <w:trPr>
        <w:gridAfter w:val="1"/>
        <w:wAfter w:w="272" w:type="dxa"/>
      </w:trPr>
      <w:tc>
        <w:tcPr>
          <w:tcW w:w="2548" w:type="dxa"/>
        </w:tcPr>
        <w:p w14:paraId="6B94989F" w14:textId="77777777" w:rsidR="000B057B" w:rsidRPr="00CB4BE5" w:rsidRDefault="00035763" w:rsidP="00035763">
          <w:pPr>
            <w:pStyle w:val="Footer"/>
            <w:rPr>
              <w:sz w:val="16"/>
              <w:szCs w:val="16"/>
            </w:rPr>
          </w:pPr>
          <w:r w:rsidRPr="00CB4BE5">
            <w:rPr>
              <w:sz w:val="16"/>
              <w:szCs w:val="16"/>
            </w:rPr>
            <w:t>The University of Queensland Brisbane </w:t>
          </w:r>
        </w:p>
        <w:p w14:paraId="34E93C09" w14:textId="20E0CFE7" w:rsidR="00035763" w:rsidRPr="00CB4BE5" w:rsidRDefault="00035763" w:rsidP="00035763">
          <w:pPr>
            <w:pStyle w:val="Footer"/>
            <w:rPr>
              <w:sz w:val="16"/>
              <w:szCs w:val="16"/>
            </w:rPr>
          </w:pPr>
          <w:r w:rsidRPr="00CB4BE5">
            <w:rPr>
              <w:sz w:val="16"/>
              <w:szCs w:val="16"/>
            </w:rPr>
            <w:t>QLD 4072 Australia</w:t>
          </w:r>
        </w:p>
      </w:tc>
      <w:tc>
        <w:tcPr>
          <w:tcW w:w="1778" w:type="dxa"/>
        </w:tcPr>
        <w:p w14:paraId="72B0F2AB" w14:textId="28C6E0D2" w:rsidR="00035763" w:rsidRPr="00CB4BE5" w:rsidRDefault="00035763" w:rsidP="00035763">
          <w:pPr>
            <w:pStyle w:val="Footer"/>
            <w:rPr>
              <w:sz w:val="16"/>
              <w:szCs w:val="16"/>
            </w:rPr>
          </w:pPr>
          <w:r w:rsidRPr="00CB4BE5">
            <w:rPr>
              <w:b/>
              <w:color w:val="51247A" w:themeColor="accent1"/>
              <w:sz w:val="16"/>
              <w:szCs w:val="16"/>
            </w:rPr>
            <w:t>T</w:t>
          </w:r>
          <w:r w:rsidRPr="00CB4BE5">
            <w:rPr>
              <w:sz w:val="16"/>
              <w:szCs w:val="16"/>
            </w:rPr>
            <w:tab/>
            <w:t xml:space="preserve">+61 7 </w:t>
          </w:r>
          <w:r w:rsidR="000B057B" w:rsidRPr="00CB4BE5">
            <w:rPr>
              <w:sz w:val="16"/>
              <w:szCs w:val="16"/>
            </w:rPr>
            <w:t>3346 2607</w:t>
          </w:r>
        </w:p>
        <w:p w14:paraId="095A7C51" w14:textId="7383D16F" w:rsidR="00035763" w:rsidRPr="00CB4BE5" w:rsidRDefault="00035763" w:rsidP="00035763">
          <w:pPr>
            <w:pStyle w:val="Footer"/>
            <w:rPr>
              <w:sz w:val="16"/>
              <w:szCs w:val="16"/>
            </w:rPr>
          </w:pPr>
        </w:p>
      </w:tc>
      <w:tc>
        <w:tcPr>
          <w:tcW w:w="3471" w:type="dxa"/>
        </w:tcPr>
        <w:p w14:paraId="6F5FDC01" w14:textId="4B9A57C2" w:rsidR="00035763" w:rsidRPr="00CB4BE5" w:rsidRDefault="00035763" w:rsidP="00035763">
          <w:pPr>
            <w:pStyle w:val="Footer"/>
            <w:rPr>
              <w:sz w:val="16"/>
              <w:szCs w:val="16"/>
            </w:rPr>
          </w:pPr>
          <w:r w:rsidRPr="00CB4BE5">
            <w:rPr>
              <w:b/>
              <w:color w:val="51247A" w:themeColor="accent1"/>
              <w:sz w:val="16"/>
              <w:szCs w:val="16"/>
            </w:rPr>
            <w:t>E</w:t>
          </w:r>
          <w:r w:rsidRPr="00CB4BE5">
            <w:rPr>
              <w:sz w:val="16"/>
              <w:szCs w:val="16"/>
            </w:rPr>
            <w:tab/>
          </w:r>
          <w:r w:rsidR="00ED4408">
            <w:rPr>
              <w:sz w:val="16"/>
              <w:szCs w:val="16"/>
            </w:rPr>
            <w:t>s.andersen2</w:t>
          </w:r>
          <w:r w:rsidRPr="00CB4BE5">
            <w:rPr>
              <w:sz w:val="16"/>
              <w:szCs w:val="16"/>
            </w:rPr>
            <w:t>@uq.edu.au</w:t>
          </w:r>
        </w:p>
        <w:p w14:paraId="2C685C1A" w14:textId="14068267" w:rsidR="000B057B" w:rsidRDefault="00035763" w:rsidP="000B057B">
          <w:pPr>
            <w:pStyle w:val="Footer"/>
            <w:rPr>
              <w:sz w:val="16"/>
              <w:szCs w:val="16"/>
            </w:rPr>
          </w:pPr>
          <w:r w:rsidRPr="00CB4BE5">
            <w:rPr>
              <w:b/>
              <w:color w:val="51247A" w:themeColor="accent1"/>
              <w:sz w:val="16"/>
              <w:szCs w:val="16"/>
            </w:rPr>
            <w:t>W</w:t>
          </w:r>
          <w:r w:rsidRPr="00CB4BE5">
            <w:rPr>
              <w:sz w:val="16"/>
              <w:szCs w:val="16"/>
            </w:rPr>
            <w:tab/>
          </w:r>
          <w:r w:rsidR="00CB4BE5" w:rsidRPr="00CB4BE5">
            <w:rPr>
              <w:sz w:val="16"/>
              <w:szCs w:val="16"/>
            </w:rPr>
            <w:t>gih.uq.edu.au</w:t>
          </w:r>
        </w:p>
        <w:p w14:paraId="58C56236" w14:textId="0A54CEEA" w:rsidR="00CB4BE5" w:rsidRPr="00CB4BE5" w:rsidRDefault="00CB4BE5" w:rsidP="000B057B">
          <w:pPr>
            <w:pStyle w:val="Footer"/>
            <w:rPr>
              <w:b/>
              <w:bCs/>
              <w:color w:val="51247A" w:themeColor="accent1"/>
              <w:sz w:val="13"/>
              <w:szCs w:val="13"/>
            </w:rPr>
          </w:pPr>
          <w:r w:rsidRPr="00CB4BE5">
            <w:rPr>
              <w:b/>
              <w:bCs/>
              <w:color w:val="51247A" w:themeColor="accent1"/>
              <w:sz w:val="16"/>
              <w:szCs w:val="16"/>
            </w:rPr>
            <w:t>Twitter</w:t>
          </w:r>
          <w:r w:rsidRPr="00CB4BE5">
            <w:rPr>
              <w:b/>
              <w:bCs/>
              <w:color w:val="51247A" w:themeColor="accent1"/>
              <w:sz w:val="13"/>
              <w:szCs w:val="13"/>
            </w:rPr>
            <w:t xml:space="preserve"> </w:t>
          </w:r>
          <w:r w:rsidRPr="00CB4BE5">
            <w:rPr>
              <w:b/>
              <w:bCs/>
              <w:color w:val="000000" w:themeColor="text1"/>
              <w:sz w:val="13"/>
              <w:szCs w:val="13"/>
            </w:rPr>
            <w:t>@GIH_UQ</w:t>
          </w:r>
        </w:p>
        <w:p w14:paraId="4B88157D" w14:textId="3AA209F1" w:rsidR="00035763" w:rsidRPr="00CB4BE5" w:rsidRDefault="00035763" w:rsidP="00035763">
          <w:pPr>
            <w:pStyle w:val="Footer"/>
            <w:rPr>
              <w:sz w:val="16"/>
              <w:szCs w:val="16"/>
            </w:rPr>
          </w:pPr>
        </w:p>
      </w:tc>
      <w:tc>
        <w:tcPr>
          <w:tcW w:w="1559" w:type="dxa"/>
          <w:vAlign w:val="bottom"/>
        </w:tcPr>
        <w:p w14:paraId="3EAD3174" w14:textId="77777777" w:rsidR="00035763" w:rsidRPr="00CB4BE5" w:rsidRDefault="00035763" w:rsidP="00035763">
          <w:pPr>
            <w:pStyle w:val="Footer"/>
            <w:tabs>
              <w:tab w:val="left" w:pos="851"/>
            </w:tabs>
            <w:rPr>
              <w:sz w:val="16"/>
              <w:szCs w:val="16"/>
            </w:rPr>
          </w:pPr>
          <w:r w:rsidRPr="00CB4BE5">
            <w:rPr>
              <w:sz w:val="16"/>
              <w:szCs w:val="16"/>
            </w:rPr>
            <w:t>ABN: 63 942 912 684</w:t>
          </w:r>
        </w:p>
        <w:p w14:paraId="154F0F34" w14:textId="77777777" w:rsidR="00035763" w:rsidRPr="00CB4BE5" w:rsidRDefault="00035763" w:rsidP="00035763">
          <w:pPr>
            <w:pStyle w:val="Footer"/>
            <w:rPr>
              <w:sz w:val="16"/>
              <w:szCs w:val="16"/>
            </w:rPr>
          </w:pPr>
          <w:r w:rsidRPr="00CB4BE5">
            <w:rPr>
              <w:sz w:val="16"/>
              <w:szCs w:val="16"/>
            </w:rPr>
            <w:t>CRICOS Provider 00025B</w:t>
          </w:r>
        </w:p>
      </w:tc>
    </w:tr>
    <w:tr w:rsidR="00B042DF" w14:paraId="48601E17" w14:textId="77777777" w:rsidTr="00CB4BE5">
      <w:tc>
        <w:tcPr>
          <w:tcW w:w="9356" w:type="dxa"/>
          <w:gridSpan w:val="4"/>
          <w:vAlign w:val="bottom"/>
        </w:tcPr>
        <w:p w14:paraId="2388DE11" w14:textId="77777777" w:rsidR="00B042DF" w:rsidRDefault="00B042DF" w:rsidP="00B042DF">
          <w:pPr>
            <w:pStyle w:val="Footer"/>
            <w:jc w:val="right"/>
          </w:pPr>
        </w:p>
      </w:tc>
      <w:tc>
        <w:tcPr>
          <w:tcW w:w="272" w:type="dxa"/>
          <w:vAlign w:val="bottom"/>
        </w:tcPr>
        <w:p w14:paraId="54BBEC2B" w14:textId="77777777"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Pr="0033054B">
            <w:rPr>
              <w:b/>
              <w:szCs w:val="15"/>
            </w:rPr>
            <w:t>13</w:t>
          </w:r>
          <w:r w:rsidRPr="0033054B">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417830263"/>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72471136"/>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211628740"/>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3A76" w14:textId="77777777" w:rsidR="00E240B0" w:rsidRDefault="00E240B0" w:rsidP="00C20C17">
      <w:r>
        <w:separator/>
      </w:r>
    </w:p>
  </w:footnote>
  <w:footnote w:type="continuationSeparator" w:id="0">
    <w:p w14:paraId="6D5B58A3" w14:textId="77777777" w:rsidR="00E240B0" w:rsidRDefault="00E240B0"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0E49" w14:textId="77777777" w:rsidR="007B0BBA" w:rsidRDefault="007B0BBA" w:rsidP="007B0BBA">
    <w:pPr>
      <w:pStyle w:val="Header"/>
      <w:jc w:val="right"/>
    </w:pPr>
  </w:p>
  <w:p w14:paraId="770FC276" w14:textId="77777777" w:rsidR="007B0BBA" w:rsidRDefault="007B0BBA" w:rsidP="007B0BBA">
    <w:pPr>
      <w:pStyle w:val="Header"/>
    </w:pPr>
    <w:r>
      <w:rPr>
        <w:noProof/>
      </w:rPr>
      <w:drawing>
        <wp:anchor distT="0" distB="0" distL="114300" distR="114300" simplePos="0" relativeHeight="251661312" behindDoc="0" locked="0" layoutInCell="1" allowOverlap="1" wp14:anchorId="32A40EB2" wp14:editId="5AD496CF">
          <wp:simplePos x="0" y="0"/>
          <wp:positionH relativeFrom="margin">
            <wp:align>right</wp:align>
          </wp:positionH>
          <wp:positionV relativeFrom="paragraph">
            <wp:posOffset>32385</wp:posOffset>
          </wp:positionV>
          <wp:extent cx="1825200" cy="75960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8C90D8A"/>
    <w:multiLevelType w:val="multilevel"/>
    <w:tmpl w:val="8752BC70"/>
    <w:numStyleLink w:val="ListSectionTitle"/>
  </w:abstractNum>
  <w:abstractNum w:abstractNumId="11" w15:restartNumberingAfterBreak="0">
    <w:nsid w:val="51766B29"/>
    <w:multiLevelType w:val="hybridMultilevel"/>
    <w:tmpl w:val="ACEA0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AA0A7D"/>
    <w:multiLevelType w:val="multilevel"/>
    <w:tmpl w:val="E9B44B6A"/>
    <w:numStyleLink w:val="ListParagraph"/>
  </w:abstractNum>
  <w:abstractNum w:abstractNumId="13" w15:restartNumberingAfterBreak="0">
    <w:nsid w:val="53FE7795"/>
    <w:multiLevelType w:val="multilevel"/>
    <w:tmpl w:val="B5BC7C40"/>
    <w:numStyleLink w:val="ListAppendix"/>
  </w:abstractNum>
  <w:abstractNum w:abstractNumId="14"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665596965">
    <w:abstractNumId w:val="14"/>
  </w:num>
  <w:num w:numId="2" w16cid:durableId="1852141534">
    <w:abstractNumId w:val="4"/>
  </w:num>
  <w:num w:numId="3" w16cid:durableId="471407628">
    <w:abstractNumId w:val="8"/>
  </w:num>
  <w:num w:numId="4" w16cid:durableId="888564968">
    <w:abstractNumId w:val="3"/>
  </w:num>
  <w:num w:numId="5" w16cid:durableId="2044209415">
    <w:abstractNumId w:val="12"/>
  </w:num>
  <w:num w:numId="6" w16cid:durableId="2028369013">
    <w:abstractNumId w:val="5"/>
  </w:num>
  <w:num w:numId="7" w16cid:durableId="863591486">
    <w:abstractNumId w:val="6"/>
  </w:num>
  <w:num w:numId="8" w16cid:durableId="426998632">
    <w:abstractNumId w:val="7"/>
  </w:num>
  <w:num w:numId="9" w16cid:durableId="560754690">
    <w:abstractNumId w:val="2"/>
  </w:num>
  <w:num w:numId="10" w16cid:durableId="915896710">
    <w:abstractNumId w:val="9"/>
  </w:num>
  <w:num w:numId="11" w16cid:durableId="1608462246">
    <w:abstractNumId w:val="1"/>
  </w:num>
  <w:num w:numId="12" w16cid:durableId="1914118167">
    <w:abstractNumId w:val="0"/>
  </w:num>
  <w:num w:numId="13" w16cid:durableId="1838690859">
    <w:abstractNumId w:val="10"/>
  </w:num>
  <w:num w:numId="14" w16cid:durableId="882522452">
    <w:abstractNumId w:val="13"/>
  </w:num>
  <w:num w:numId="15" w16cid:durableId="1604417888">
    <w:abstractNumId w:val="10"/>
  </w:num>
  <w:num w:numId="16" w16cid:durableId="15357090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A4"/>
    <w:rsid w:val="00011EC4"/>
    <w:rsid w:val="000300D4"/>
    <w:rsid w:val="00035763"/>
    <w:rsid w:val="000452C2"/>
    <w:rsid w:val="00056DC4"/>
    <w:rsid w:val="00077D46"/>
    <w:rsid w:val="000A7AFE"/>
    <w:rsid w:val="000B057B"/>
    <w:rsid w:val="000B3E75"/>
    <w:rsid w:val="00137BC7"/>
    <w:rsid w:val="0016054E"/>
    <w:rsid w:val="00161B98"/>
    <w:rsid w:val="0016241C"/>
    <w:rsid w:val="001741BF"/>
    <w:rsid w:val="0017568F"/>
    <w:rsid w:val="001917D6"/>
    <w:rsid w:val="00192897"/>
    <w:rsid w:val="00193459"/>
    <w:rsid w:val="00196B81"/>
    <w:rsid w:val="00196C64"/>
    <w:rsid w:val="001B6A57"/>
    <w:rsid w:val="001C6E2E"/>
    <w:rsid w:val="001D441E"/>
    <w:rsid w:val="001E544B"/>
    <w:rsid w:val="002142AC"/>
    <w:rsid w:val="00241DF1"/>
    <w:rsid w:val="0027656A"/>
    <w:rsid w:val="00287293"/>
    <w:rsid w:val="00292EDB"/>
    <w:rsid w:val="002A7D8E"/>
    <w:rsid w:val="002D73F6"/>
    <w:rsid w:val="002F612F"/>
    <w:rsid w:val="003047FA"/>
    <w:rsid w:val="00310B79"/>
    <w:rsid w:val="0033054B"/>
    <w:rsid w:val="0038414A"/>
    <w:rsid w:val="003F5E91"/>
    <w:rsid w:val="0040412D"/>
    <w:rsid w:val="00416FF4"/>
    <w:rsid w:val="00445521"/>
    <w:rsid w:val="0045207D"/>
    <w:rsid w:val="00463D08"/>
    <w:rsid w:val="004713C5"/>
    <w:rsid w:val="00491D45"/>
    <w:rsid w:val="004972A0"/>
    <w:rsid w:val="005018A7"/>
    <w:rsid w:val="0051096D"/>
    <w:rsid w:val="005118F6"/>
    <w:rsid w:val="00521F21"/>
    <w:rsid w:val="005A6CC7"/>
    <w:rsid w:val="005B54F0"/>
    <w:rsid w:val="005C104C"/>
    <w:rsid w:val="005C61EC"/>
    <w:rsid w:val="005D0167"/>
    <w:rsid w:val="005D4250"/>
    <w:rsid w:val="005E2A3E"/>
    <w:rsid w:val="005E72D9"/>
    <w:rsid w:val="005E7363"/>
    <w:rsid w:val="0061444B"/>
    <w:rsid w:val="00614669"/>
    <w:rsid w:val="006377A2"/>
    <w:rsid w:val="00643A5A"/>
    <w:rsid w:val="00646167"/>
    <w:rsid w:val="00670B05"/>
    <w:rsid w:val="00684298"/>
    <w:rsid w:val="006873AE"/>
    <w:rsid w:val="006C0E44"/>
    <w:rsid w:val="006E3172"/>
    <w:rsid w:val="006E71A4"/>
    <w:rsid w:val="0071246C"/>
    <w:rsid w:val="00715A9A"/>
    <w:rsid w:val="00716942"/>
    <w:rsid w:val="0078651D"/>
    <w:rsid w:val="007B0BBA"/>
    <w:rsid w:val="007B215D"/>
    <w:rsid w:val="007C38B8"/>
    <w:rsid w:val="007F2AD3"/>
    <w:rsid w:val="007F4A2C"/>
    <w:rsid w:val="007F5557"/>
    <w:rsid w:val="00814CA5"/>
    <w:rsid w:val="00834296"/>
    <w:rsid w:val="00862690"/>
    <w:rsid w:val="00882359"/>
    <w:rsid w:val="008B0D7D"/>
    <w:rsid w:val="008D1E78"/>
    <w:rsid w:val="008E2EA4"/>
    <w:rsid w:val="008F5CCA"/>
    <w:rsid w:val="00922A14"/>
    <w:rsid w:val="00944DDB"/>
    <w:rsid w:val="00953A0A"/>
    <w:rsid w:val="009707B8"/>
    <w:rsid w:val="009774DC"/>
    <w:rsid w:val="009D5468"/>
    <w:rsid w:val="009D6143"/>
    <w:rsid w:val="009D7F71"/>
    <w:rsid w:val="009E3486"/>
    <w:rsid w:val="009E3FDE"/>
    <w:rsid w:val="009E6379"/>
    <w:rsid w:val="009F3881"/>
    <w:rsid w:val="00A12421"/>
    <w:rsid w:val="00A34437"/>
    <w:rsid w:val="00A350BA"/>
    <w:rsid w:val="00A40661"/>
    <w:rsid w:val="00A77D53"/>
    <w:rsid w:val="00A92028"/>
    <w:rsid w:val="00AE34ED"/>
    <w:rsid w:val="00AE7D65"/>
    <w:rsid w:val="00B025B0"/>
    <w:rsid w:val="00B029C8"/>
    <w:rsid w:val="00B042DF"/>
    <w:rsid w:val="00B0701C"/>
    <w:rsid w:val="00B13955"/>
    <w:rsid w:val="00B545EC"/>
    <w:rsid w:val="00B742E4"/>
    <w:rsid w:val="00B80609"/>
    <w:rsid w:val="00BC0E71"/>
    <w:rsid w:val="00BD727E"/>
    <w:rsid w:val="00BE0E75"/>
    <w:rsid w:val="00C047E3"/>
    <w:rsid w:val="00C20C17"/>
    <w:rsid w:val="00C33B32"/>
    <w:rsid w:val="00C474B7"/>
    <w:rsid w:val="00C618B3"/>
    <w:rsid w:val="00C73CC4"/>
    <w:rsid w:val="00C960ED"/>
    <w:rsid w:val="00CB4BE5"/>
    <w:rsid w:val="00CD6772"/>
    <w:rsid w:val="00D13C7F"/>
    <w:rsid w:val="00D26378"/>
    <w:rsid w:val="00D32971"/>
    <w:rsid w:val="00D8242B"/>
    <w:rsid w:val="00DA5594"/>
    <w:rsid w:val="00DD0AFE"/>
    <w:rsid w:val="00DD3FBD"/>
    <w:rsid w:val="00DF4CF9"/>
    <w:rsid w:val="00E02710"/>
    <w:rsid w:val="00E240B0"/>
    <w:rsid w:val="00E7261C"/>
    <w:rsid w:val="00E72FC6"/>
    <w:rsid w:val="00E86AE2"/>
    <w:rsid w:val="00E87A8D"/>
    <w:rsid w:val="00EC4E6E"/>
    <w:rsid w:val="00ED4408"/>
    <w:rsid w:val="00EE473C"/>
    <w:rsid w:val="00F05EB2"/>
    <w:rsid w:val="00F4114D"/>
    <w:rsid w:val="00F52ED8"/>
    <w:rsid w:val="00F54BBF"/>
    <w:rsid w:val="00F8502B"/>
    <w:rsid w:val="00FA4396"/>
    <w:rsid w:val="00FC0BC3"/>
    <w:rsid w:val="00FD1621"/>
    <w:rsid w:val="00FD60C4"/>
    <w:rsid w:val="00FE5A78"/>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60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lang w:eastAsia="en-US"/>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lang w:eastAsia="en-US"/>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lang w:eastAsia="en-US"/>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sz w:val="20"/>
      <w:szCs w:val="22"/>
      <w:lang w:eastAsia="en-US"/>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sz w:val="20"/>
      <w:szCs w:val="22"/>
      <w:lang w:eastAsia="en-US"/>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rFonts w:asciiTheme="minorHAnsi" w:eastAsiaTheme="minorHAnsi" w:hAnsiTheme="minorHAnsi" w:cstheme="minorBidi"/>
      <w:b/>
      <w:iCs/>
      <w:color w:val="51247A" w:themeColor="accent1"/>
      <w:sz w:val="64"/>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rFonts w:asciiTheme="minorHAnsi" w:eastAsiaTheme="minorHAnsi" w:hAnsiTheme="minorHAnsi" w:cstheme="minorBidi"/>
      <w:i/>
      <w:iCs/>
      <w:color w:val="44546A" w:themeColor="text2"/>
      <w:sz w:val="20"/>
      <w:szCs w:val="18"/>
      <w:lang w:eastAsia="en-US"/>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rPr>
      <w:rFonts w:asciiTheme="minorHAnsi" w:eastAsiaTheme="minorHAnsi" w:hAnsiTheme="minorHAnsi" w:cstheme="minorBidi"/>
      <w:sz w:val="20"/>
      <w:szCs w:val="22"/>
      <w:lang w:eastAsia="en-US"/>
    </w:r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rPr>
      <w:rFonts w:asciiTheme="minorHAnsi" w:eastAsiaTheme="minorHAnsi" w:hAnsiTheme="minorHAnsi" w:cstheme="minorBidi"/>
      <w:sz w:val="20"/>
      <w:szCs w:val="22"/>
      <w:lang w:eastAsia="en-US"/>
    </w:r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lang w:eastAsia="en-US"/>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asciiTheme="minorHAnsi" w:eastAsiaTheme="minorEastAsia" w:hAnsiTheme="minorHAnsi" w:cstheme="minorBidi"/>
      <w:color w:val="51247A" w:themeColor="accent1"/>
      <w:sz w:val="28"/>
      <w:szCs w:val="22"/>
      <w:lang w:eastAsia="en-US"/>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rFonts w:asciiTheme="minorHAnsi" w:eastAsiaTheme="minorHAnsi" w:hAnsiTheme="minorHAnsi" w:cstheme="minorBidi"/>
      <w:color w:val="51247A" w:themeColor="accent1"/>
      <w:sz w:val="36"/>
      <w:szCs w:val="22"/>
      <w:lang w:eastAsia="en-US"/>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rFonts w:asciiTheme="minorHAnsi" w:eastAsiaTheme="minorHAnsi" w:hAnsiTheme="minorHAnsi" w:cstheme="minorBidi"/>
      <w:b/>
      <w:sz w:val="20"/>
      <w:szCs w:val="22"/>
      <w:lang w:eastAsia="en-US"/>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rPr>
      <w:rFonts w:asciiTheme="minorHAnsi" w:eastAsiaTheme="minorHAnsi" w:hAnsiTheme="minorHAnsi" w:cstheme="minorBidi"/>
      <w:sz w:val="20"/>
      <w:szCs w:val="22"/>
      <w:lang w:eastAsia="en-US"/>
    </w:rPr>
  </w:style>
  <w:style w:type="paragraph" w:styleId="TOC3">
    <w:name w:val="toc 3"/>
    <w:basedOn w:val="Normal"/>
    <w:next w:val="Normal"/>
    <w:uiPriority w:val="39"/>
    <w:semiHidden/>
    <w:rsid w:val="00B742E4"/>
    <w:pPr>
      <w:tabs>
        <w:tab w:val="right" w:leader="dot" w:pos="9639"/>
      </w:tabs>
      <w:spacing w:before="20" w:after="20"/>
    </w:pPr>
    <w:rPr>
      <w:rFonts w:asciiTheme="minorHAnsi" w:eastAsiaTheme="minorHAnsi" w:hAnsiTheme="minorHAnsi" w:cstheme="minorBidi"/>
      <w:sz w:val="20"/>
      <w:szCs w:val="22"/>
      <w:lang w:eastAsia="en-US"/>
    </w:r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rFonts w:asciiTheme="minorHAnsi" w:eastAsiaTheme="minorHAnsi" w:hAnsiTheme="minorHAnsi" w:cstheme="minorBidi"/>
      <w:sz w:val="15"/>
      <w:szCs w:val="22"/>
      <w:lang w:eastAsia="en-US"/>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rFonts w:asciiTheme="minorHAnsi" w:eastAsiaTheme="minorHAnsi" w:hAnsiTheme="minorHAnsi" w:cstheme="minorBidi"/>
      <w:sz w:val="18"/>
      <w:szCs w:val="22"/>
      <w:lang w:eastAsia="en-US"/>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rPr>
      <w:rFonts w:asciiTheme="minorHAnsi" w:eastAsiaTheme="minorHAnsi" w:hAnsiTheme="minorHAnsi" w:cstheme="minorBidi"/>
      <w:sz w:val="20"/>
      <w:szCs w:val="22"/>
      <w:lang w:eastAsia="en-US"/>
    </w:r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rFonts w:asciiTheme="minorHAnsi" w:eastAsiaTheme="minorHAnsi" w:hAnsiTheme="minorHAnsi" w:cstheme="minorBidi"/>
      <w:b/>
      <w:color w:val="51247A" w:themeColor="accent1"/>
      <w:sz w:val="28"/>
      <w:szCs w:val="22"/>
      <w:lang w:eastAsia="en-US"/>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rPr>
      <w:rFonts w:asciiTheme="minorHAnsi" w:eastAsiaTheme="minorHAnsi" w:hAnsiTheme="minorHAnsi" w:cstheme="minorBidi"/>
      <w:sz w:val="20"/>
      <w:szCs w:val="22"/>
      <w:lang w:eastAsia="en-US"/>
    </w:r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rFonts w:asciiTheme="minorHAnsi" w:eastAsiaTheme="minorHAnsi" w:hAnsiTheme="minorHAnsi" w:cstheme="minorBidi"/>
      <w:sz w:val="16"/>
      <w:szCs w:val="20"/>
      <w:lang w:eastAsia="en-US"/>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rFonts w:asciiTheme="minorHAnsi" w:eastAsiaTheme="minorHAnsi" w:hAnsiTheme="minorHAnsi" w:cstheme="minorBidi"/>
      <w:color w:val="51247A" w:themeColor="accent1"/>
      <w:sz w:val="60"/>
      <w:szCs w:val="22"/>
      <w:lang w:eastAsia="en-US"/>
    </w:rPr>
  </w:style>
  <w:style w:type="paragraph" w:customStyle="1" w:styleId="SectionTitleNumbered">
    <w:name w:val="Section Title Numbered"/>
    <w:basedOn w:val="Normal"/>
    <w:uiPriority w:val="19"/>
    <w:semiHidden/>
    <w:qFormat/>
    <w:rsid w:val="00614669"/>
    <w:pPr>
      <w:numPr>
        <w:numId w:val="13"/>
      </w:numPr>
      <w:spacing w:before="120"/>
    </w:pPr>
    <w:rPr>
      <w:rFonts w:asciiTheme="minorHAnsi" w:eastAsiaTheme="minorHAnsi" w:hAnsiTheme="minorHAnsi" w:cstheme="minorBidi"/>
      <w:color w:val="51247A" w:themeColor="accent1"/>
      <w:sz w:val="48"/>
      <w:szCs w:val="22"/>
      <w:lang w:eastAsia="en-US"/>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rFonts w:asciiTheme="minorHAnsi" w:eastAsiaTheme="minorHAnsi" w:hAnsiTheme="minorHAnsi" w:cstheme="minorBidi"/>
      <w:sz w:val="18"/>
      <w:szCs w:val="22"/>
      <w:lang w:eastAsia="en-US"/>
    </w:rPr>
  </w:style>
  <w:style w:type="paragraph" w:customStyle="1" w:styleId="DividerSectionTitle">
    <w:name w:val="Divider Section Title"/>
    <w:basedOn w:val="Normal"/>
    <w:uiPriority w:val="19"/>
    <w:semiHidden/>
    <w:qFormat/>
    <w:rsid w:val="00614669"/>
    <w:rPr>
      <w:rFonts w:asciiTheme="minorHAnsi" w:eastAsiaTheme="minorHAnsi" w:hAnsiTheme="minorHAnsi" w:cstheme="minorBidi"/>
      <w:b/>
      <w:color w:val="51247A" w:themeColor="accent1"/>
      <w:sz w:val="48"/>
      <w:szCs w:val="22"/>
      <w:lang w:eastAsia="en-US"/>
    </w:rPr>
  </w:style>
  <w:style w:type="paragraph" w:customStyle="1" w:styleId="SectionNumberOnly">
    <w:name w:val="Section Number Only"/>
    <w:basedOn w:val="Normal"/>
    <w:uiPriority w:val="19"/>
    <w:semiHidden/>
    <w:qFormat/>
    <w:rsid w:val="00614669"/>
    <w:pPr>
      <w:numPr>
        <w:ilvl w:val="1"/>
        <w:numId w:val="13"/>
      </w:numPr>
      <w:spacing w:after="120"/>
    </w:pPr>
    <w:rPr>
      <w:rFonts w:asciiTheme="minorHAnsi" w:eastAsiaTheme="minorHAnsi" w:hAnsiTheme="minorHAnsi" w:cstheme="minorBidi"/>
      <w:color w:val="E62645" w:themeColor="accent2"/>
      <w:sz w:val="72"/>
      <w:szCs w:val="22"/>
      <w:lang w:eastAsia="en-US"/>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rFonts w:asciiTheme="minorHAnsi" w:eastAsiaTheme="minorHAnsi" w:hAnsiTheme="minorHAnsi" w:cstheme="minorBidi"/>
      <w:bCs/>
      <w:color w:val="FFFFFF" w:themeColor="background1"/>
      <w:szCs w:val="22"/>
      <w:lang w:val="en-US" w:eastAsia="en-US"/>
    </w:rPr>
  </w:style>
  <w:style w:type="character"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rFonts w:asciiTheme="minorHAnsi" w:eastAsiaTheme="minorHAnsi" w:hAnsiTheme="minorHAnsi" w:cstheme="minorBidi"/>
      <w:sz w:val="20"/>
      <w:szCs w:val="22"/>
      <w:lang w:eastAsia="en-AU"/>
    </w:rPr>
  </w:style>
  <w:style w:type="character" w:styleId="Emphasis">
    <w:name w:val="Emphasis"/>
    <w:basedOn w:val="DefaultParagraphFont"/>
    <w:uiPriority w:val="20"/>
    <w:qFormat/>
    <w:rsid w:val="00B029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4863">
      <w:bodyDiv w:val="1"/>
      <w:marLeft w:val="0"/>
      <w:marRight w:val="0"/>
      <w:marTop w:val="0"/>
      <w:marBottom w:val="0"/>
      <w:divBdr>
        <w:top w:val="none" w:sz="0" w:space="0" w:color="auto"/>
        <w:left w:val="none" w:sz="0" w:space="0" w:color="auto"/>
        <w:bottom w:val="none" w:sz="0" w:space="0" w:color="auto"/>
        <w:right w:val="none" w:sz="0" w:space="0" w:color="auto"/>
      </w:divBdr>
      <w:divsChild>
        <w:div w:id="207299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7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6692">
      <w:bodyDiv w:val="1"/>
      <w:marLeft w:val="0"/>
      <w:marRight w:val="0"/>
      <w:marTop w:val="0"/>
      <w:marBottom w:val="0"/>
      <w:divBdr>
        <w:top w:val="none" w:sz="0" w:space="0" w:color="auto"/>
        <w:left w:val="none" w:sz="0" w:space="0" w:color="auto"/>
        <w:bottom w:val="none" w:sz="0" w:space="0" w:color="auto"/>
        <w:right w:val="none" w:sz="0" w:space="0" w:color="auto"/>
      </w:divBdr>
    </w:div>
    <w:div w:id="913048774">
      <w:bodyDiv w:val="1"/>
      <w:marLeft w:val="0"/>
      <w:marRight w:val="0"/>
      <w:marTop w:val="0"/>
      <w:marBottom w:val="0"/>
      <w:divBdr>
        <w:top w:val="none" w:sz="0" w:space="0" w:color="auto"/>
        <w:left w:val="none" w:sz="0" w:space="0" w:color="auto"/>
        <w:bottom w:val="none" w:sz="0" w:space="0" w:color="auto"/>
        <w:right w:val="none" w:sz="0" w:space="0" w:color="auto"/>
      </w:divBdr>
    </w:div>
    <w:div w:id="946079239">
      <w:bodyDiv w:val="1"/>
      <w:marLeft w:val="0"/>
      <w:marRight w:val="0"/>
      <w:marTop w:val="0"/>
      <w:marBottom w:val="0"/>
      <w:divBdr>
        <w:top w:val="none" w:sz="0" w:space="0" w:color="auto"/>
        <w:left w:val="none" w:sz="0" w:space="0" w:color="auto"/>
        <w:bottom w:val="none" w:sz="0" w:space="0" w:color="auto"/>
        <w:right w:val="none" w:sz="0" w:space="0" w:color="auto"/>
      </w:divBdr>
    </w:div>
    <w:div w:id="1014259523">
      <w:bodyDiv w:val="1"/>
      <w:marLeft w:val="0"/>
      <w:marRight w:val="0"/>
      <w:marTop w:val="0"/>
      <w:marBottom w:val="0"/>
      <w:divBdr>
        <w:top w:val="none" w:sz="0" w:space="0" w:color="auto"/>
        <w:left w:val="none" w:sz="0" w:space="0" w:color="auto"/>
        <w:bottom w:val="none" w:sz="0" w:space="0" w:color="auto"/>
        <w:right w:val="none" w:sz="0" w:space="0" w:color="auto"/>
      </w:divBdr>
    </w:div>
    <w:div w:id="1130635233">
      <w:bodyDiv w:val="1"/>
      <w:marLeft w:val="0"/>
      <w:marRight w:val="0"/>
      <w:marTop w:val="0"/>
      <w:marBottom w:val="0"/>
      <w:divBdr>
        <w:top w:val="none" w:sz="0" w:space="0" w:color="auto"/>
        <w:left w:val="none" w:sz="0" w:space="0" w:color="auto"/>
        <w:bottom w:val="none" w:sz="0" w:space="0" w:color="auto"/>
        <w:right w:val="none" w:sz="0" w:space="0" w:color="auto"/>
      </w:divBdr>
      <w:divsChild>
        <w:div w:id="11953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9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23538">
      <w:bodyDiv w:val="1"/>
      <w:marLeft w:val="0"/>
      <w:marRight w:val="0"/>
      <w:marTop w:val="0"/>
      <w:marBottom w:val="0"/>
      <w:divBdr>
        <w:top w:val="none" w:sz="0" w:space="0" w:color="auto"/>
        <w:left w:val="none" w:sz="0" w:space="0" w:color="auto"/>
        <w:bottom w:val="none" w:sz="0" w:space="0" w:color="auto"/>
        <w:right w:val="none" w:sz="0" w:space="0" w:color="auto"/>
      </w:divBdr>
    </w:div>
    <w:div w:id="1766657880">
      <w:bodyDiv w:val="1"/>
      <w:marLeft w:val="0"/>
      <w:marRight w:val="0"/>
      <w:marTop w:val="0"/>
      <w:marBottom w:val="0"/>
      <w:divBdr>
        <w:top w:val="none" w:sz="0" w:space="0" w:color="auto"/>
        <w:left w:val="none" w:sz="0" w:space="0" w:color="auto"/>
        <w:bottom w:val="none" w:sz="0" w:space="0" w:color="auto"/>
        <w:right w:val="none" w:sz="0" w:space="0" w:color="auto"/>
      </w:divBdr>
    </w:div>
    <w:div w:id="1798834271">
      <w:bodyDiv w:val="1"/>
      <w:marLeft w:val="0"/>
      <w:marRight w:val="0"/>
      <w:marTop w:val="0"/>
      <w:marBottom w:val="0"/>
      <w:divBdr>
        <w:top w:val="none" w:sz="0" w:space="0" w:color="auto"/>
        <w:left w:val="none" w:sz="0" w:space="0" w:color="auto"/>
        <w:bottom w:val="none" w:sz="0" w:space="0" w:color="auto"/>
        <w:right w:val="none" w:sz="0" w:space="0" w:color="auto"/>
      </w:divBdr>
    </w:div>
    <w:div w:id="18729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ions@uq.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IHapplications@uq.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uq.edu.au/research-infrastructu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66"/>
    <w:rsid w:val="000775BF"/>
    <w:rsid w:val="00094622"/>
    <w:rsid w:val="00214366"/>
    <w:rsid w:val="00361741"/>
    <w:rsid w:val="007D3465"/>
    <w:rsid w:val="008A243F"/>
    <w:rsid w:val="00921246"/>
    <w:rsid w:val="009B7BBC"/>
    <w:rsid w:val="00C66EB3"/>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B09"/>
    <w:rPr>
      <w:color w:val="808080"/>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C048122E24244181AA5BE353FCA72C" ma:contentTypeVersion="13" ma:contentTypeDescription="Create a new document." ma:contentTypeScope="" ma:versionID="27356f73d0235356d8b5a51fea10910c">
  <xsd:schema xmlns:xsd="http://www.w3.org/2001/XMLSchema" xmlns:xs="http://www.w3.org/2001/XMLSchema" xmlns:p="http://schemas.microsoft.com/office/2006/metadata/properties" xmlns:ns2="8bc380ca-c525-425a-8af4-e6cce0a93bdc" xmlns:ns3="dee65e53-67cd-4698-87e0-a6e2779cd845" targetNamespace="http://schemas.microsoft.com/office/2006/metadata/properties" ma:root="true" ma:fieldsID="eb9508a3580bb6c45bf365b0b8e91ad8" ns2:_="" ns3:_="">
    <xsd:import namespace="8bc380ca-c525-425a-8af4-e6cce0a93bdc"/>
    <xsd:import namespace="dee65e53-67cd-4698-87e0-a6e2779cd8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380ca-c525-425a-8af4-e6cce0a93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e65e53-67cd-4698-87e0-a6e2779cd84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34b440c-4c19-46f9-94d7-c4e2ff1ac80b}" ma:internalName="TaxCatchAll" ma:showField="CatchAllData" ma:web="dee65e53-67cd-4698-87e0-a6e2779cd8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ee65e53-67cd-4698-87e0-a6e2779cd845" xsi:nil="true"/>
    <lcf76f155ced4ddcb4097134ff3c332f xmlns="8bc380ca-c525-425a-8af4-e6cce0a93b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CCAE48-9EBC-43A4-9E59-25EB53EB8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380ca-c525-425a-8af4-e6cce0a93bdc"/>
    <ds:schemaRef ds:uri="dee65e53-67cd-4698-87e0-a6e2779cd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E2C40-A914-429B-A33E-376AB36D3CB8}">
  <ds:schemaRefs>
    <ds:schemaRef ds:uri="http://schemas.microsoft.com/sharepoint/v3/contenttype/forms"/>
  </ds:schemaRefs>
</ds:datastoreItem>
</file>

<file path=customXml/itemProps3.xml><?xml version="1.0" encoding="utf-8"?>
<ds:datastoreItem xmlns:ds="http://schemas.openxmlformats.org/officeDocument/2006/customXml" ds:itemID="{2DC28658-E441-4179-AD4D-D6D64C08A1D6}">
  <ds:schemaRefs>
    <ds:schemaRef ds:uri="http://schemas.openxmlformats.org/officeDocument/2006/bibliography"/>
  </ds:schemaRefs>
</ds:datastoreItem>
</file>

<file path=customXml/itemProps4.xml><?xml version="1.0" encoding="utf-8"?>
<ds:datastoreItem xmlns:ds="http://schemas.openxmlformats.org/officeDocument/2006/customXml" ds:itemID="{9142542E-3370-4F82-8CA4-EDC3CC2AC795}">
  <ds:schemaRefs>
    <ds:schemaRef ds:uri="http://schemas.microsoft.com/office/2006/metadata/properties"/>
    <ds:schemaRef ds:uri="http://schemas.microsoft.com/office/infopath/2007/PartnerControls"/>
    <ds:schemaRef ds:uri="dee65e53-67cd-4698-87e0-a6e2779cd845"/>
    <ds:schemaRef ds:uri="8bc380ca-c525-425a-8af4-e6cce0a93bdc"/>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1047</TotalTime>
  <Pages>6</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Stacey Andersen</cp:lastModifiedBy>
  <cp:revision>14</cp:revision>
  <cp:lastPrinted>2020-10-15T02:50:00Z</cp:lastPrinted>
  <dcterms:created xsi:type="dcterms:W3CDTF">2022-08-29T12:14:00Z</dcterms:created>
  <dcterms:modified xsi:type="dcterms:W3CDTF">2022-10-04T02:24:00Z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0x0101004CC048122E24244181AA5BE353FCA72C</vt:lpwstr>
  </property>
  <property fmtid="{D5CDD505-2E9C-101B-9397-08002B2CF9AE}" pid="3" name="MSIP_Label_0f488380-630a-4f55-a077-a19445e3f360_Enabled">
    <vt:lpwstr>true</vt:lpwstr>
  </property>
  <property fmtid="{D5CDD505-2E9C-101B-9397-08002B2CF9AE}" pid="4" name="MSIP_Label_0f488380-630a-4f55-a077-a19445e3f360_SetDate">
    <vt:lpwstr>2022-08-29T12:14:10Z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522320c5-00a6-4271-9b57-e7fbd7cba6b7</vt:lpwstr>
  </property>
  <property fmtid="{D5CDD505-2E9C-101B-9397-08002B2CF9AE}" pid="9" name="MSIP_Label_0f488380-630a-4f55-a077-a19445e3f360_ContentBits">
    <vt:lpwstr>0</vt:lpwstr>
  </property>
  <property fmtid="{D5CDD505-2E9C-101B-9397-08002B2CF9AE}" pid="10" name="MediaServiceImageTags">
    <vt:lpwstr/>
  </property>
</Properties>
</file>